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C421" w14:textId="61C9FB03"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Учреждение образования</w:t>
      </w:r>
    </w:p>
    <w:p w14:paraId="3D97F32A" w14:textId="1CAF8021"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«Брестский государственный университет имени А. С. Пушкина»</w:t>
      </w:r>
    </w:p>
    <w:p w14:paraId="13D323E5"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2614BA9F"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0448229C"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5E645AAA"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4AF71B1A"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04D78B24"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5C019D9F"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4508C9C8"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7D31E282"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7DCB81CB"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033F5098"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39B498E3"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1F540AC6"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09586F8C" w14:textId="3FC9F760" w:rsidR="0090708E" w:rsidRPr="00992C32" w:rsidRDefault="0090708E" w:rsidP="00C13BF9">
      <w:pPr>
        <w:autoSpaceDE w:val="0"/>
        <w:autoSpaceDN w:val="0"/>
        <w:adjustRightInd w:val="0"/>
        <w:spacing w:after="240" w:line="240" w:lineRule="auto"/>
        <w:jc w:val="center"/>
        <w:rPr>
          <w:rFonts w:ascii="Times New Roman" w:hAnsi="Times New Roman" w:cs="Times New Roman"/>
          <w:color w:val="000000"/>
          <w:sz w:val="40"/>
          <w:szCs w:val="40"/>
        </w:rPr>
      </w:pPr>
      <w:r w:rsidRPr="00992C32">
        <w:rPr>
          <w:rFonts w:ascii="Times New Roman" w:hAnsi="Times New Roman" w:cs="Times New Roman"/>
          <w:b/>
          <w:bCs/>
          <w:color w:val="000000"/>
          <w:sz w:val="40"/>
          <w:szCs w:val="40"/>
        </w:rPr>
        <w:t>ИСТОРИЧЕСКАЯ НАУКА:</w:t>
      </w:r>
    </w:p>
    <w:p w14:paraId="20BC06CF" w14:textId="629ECEE9"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36"/>
          <w:szCs w:val="36"/>
        </w:rPr>
      </w:pPr>
      <w:r w:rsidRPr="00992C32">
        <w:rPr>
          <w:rFonts w:ascii="Times New Roman" w:hAnsi="Times New Roman" w:cs="Times New Roman"/>
          <w:b/>
          <w:bCs/>
          <w:color w:val="000000"/>
          <w:sz w:val="36"/>
          <w:szCs w:val="36"/>
        </w:rPr>
        <w:t>ДОСТИЖЕНИЯ, ПРО</w:t>
      </w:r>
      <w:r w:rsidRPr="0090708E">
        <w:rPr>
          <w:rFonts w:ascii="Times New Roman" w:hAnsi="Times New Roman" w:cs="Times New Roman"/>
          <w:b/>
          <w:bCs/>
          <w:color w:val="000000"/>
          <w:sz w:val="36"/>
          <w:szCs w:val="36"/>
        </w:rPr>
        <w:t>БЛЕМЫ, ПЕРСПЕКТИВЫ</w:t>
      </w:r>
    </w:p>
    <w:p w14:paraId="42240607" w14:textId="77777777" w:rsidR="0090708E"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7B080BE9" w14:textId="77777777" w:rsidR="0090708E"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685DE879" w14:textId="7EBDF3E2"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Электронный сборник материалов</w:t>
      </w:r>
    </w:p>
    <w:p w14:paraId="75AC496A" w14:textId="7D64F74C"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Х</w:t>
      </w:r>
      <w:r>
        <w:rPr>
          <w:rFonts w:ascii="Times New Roman" w:hAnsi="Times New Roman" w:cs="Times New Roman"/>
          <w:color w:val="000000"/>
          <w:sz w:val="28"/>
          <w:szCs w:val="28"/>
          <w:lang w:val="en-US"/>
        </w:rPr>
        <w:t>V</w:t>
      </w:r>
      <w:r w:rsidR="00575792">
        <w:rPr>
          <w:rFonts w:ascii="Times New Roman" w:hAnsi="Times New Roman" w:cs="Times New Roman"/>
          <w:color w:val="000000"/>
          <w:sz w:val="28"/>
          <w:szCs w:val="28"/>
          <w:lang w:val="en-US"/>
        </w:rPr>
        <w:t>I</w:t>
      </w:r>
      <w:r w:rsidRPr="0090708E">
        <w:rPr>
          <w:rFonts w:ascii="Times New Roman" w:hAnsi="Times New Roman" w:cs="Times New Roman"/>
          <w:color w:val="000000"/>
          <w:sz w:val="28"/>
          <w:szCs w:val="28"/>
        </w:rPr>
        <w:t xml:space="preserve"> Республиканской научно-практической конференции студентов, магистрантов и молодых ученых</w:t>
      </w:r>
    </w:p>
    <w:p w14:paraId="7D5BAA8B" w14:textId="77777777" w:rsidR="0090708E"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40AA99C5" w14:textId="77777777" w:rsidR="0090708E"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6D895114" w14:textId="7C373124"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 xml:space="preserve">Брест, </w:t>
      </w:r>
      <w:r w:rsidR="00281CF9">
        <w:rPr>
          <w:rFonts w:ascii="Times New Roman" w:hAnsi="Times New Roman" w:cs="Times New Roman"/>
          <w:color w:val="000000"/>
          <w:sz w:val="28"/>
          <w:szCs w:val="28"/>
          <w:lang w:val="be-BY"/>
        </w:rPr>
        <w:t>2</w:t>
      </w:r>
      <w:r w:rsidR="00575792" w:rsidRPr="0097408C">
        <w:rPr>
          <w:rFonts w:ascii="Times New Roman" w:hAnsi="Times New Roman" w:cs="Times New Roman"/>
          <w:color w:val="000000"/>
          <w:sz w:val="28"/>
          <w:szCs w:val="28"/>
        </w:rPr>
        <w:t>3</w:t>
      </w:r>
      <w:r w:rsidRPr="0090708E">
        <w:rPr>
          <w:rFonts w:ascii="Times New Roman" w:hAnsi="Times New Roman" w:cs="Times New Roman"/>
          <w:color w:val="000000"/>
          <w:sz w:val="28"/>
          <w:szCs w:val="28"/>
        </w:rPr>
        <w:t xml:space="preserve"> </w:t>
      </w:r>
      <w:r w:rsidR="00575792">
        <w:rPr>
          <w:rFonts w:ascii="Times New Roman" w:hAnsi="Times New Roman" w:cs="Times New Roman"/>
          <w:color w:val="000000"/>
          <w:sz w:val="28"/>
          <w:szCs w:val="28"/>
        </w:rPr>
        <w:t>мая</w:t>
      </w:r>
      <w:r w:rsidRPr="0090708E">
        <w:rPr>
          <w:rFonts w:ascii="Times New Roman" w:hAnsi="Times New Roman" w:cs="Times New Roman"/>
          <w:color w:val="000000"/>
          <w:sz w:val="28"/>
          <w:szCs w:val="28"/>
        </w:rPr>
        <w:t xml:space="preserve"> 202</w:t>
      </w:r>
      <w:r w:rsidR="00575792">
        <w:rPr>
          <w:rFonts w:ascii="Times New Roman" w:hAnsi="Times New Roman" w:cs="Times New Roman"/>
          <w:color w:val="000000"/>
          <w:sz w:val="28"/>
          <w:szCs w:val="28"/>
          <w:lang w:val="be-BY"/>
        </w:rPr>
        <w:t>4</w:t>
      </w:r>
      <w:r w:rsidRPr="0090708E">
        <w:rPr>
          <w:rFonts w:ascii="Times New Roman" w:hAnsi="Times New Roman" w:cs="Times New Roman"/>
          <w:color w:val="000000"/>
          <w:sz w:val="28"/>
          <w:szCs w:val="28"/>
        </w:rPr>
        <w:t xml:space="preserve"> года</w:t>
      </w:r>
    </w:p>
    <w:p w14:paraId="78BC4622"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69DB6F40"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2247CF7B"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37EF645F"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75EA5D4F"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3B0AA6DF"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69271C13" w14:textId="77777777" w:rsidR="0090708E" w:rsidRPr="00296459" w:rsidRDefault="0090708E" w:rsidP="0090708E">
      <w:pPr>
        <w:autoSpaceDE w:val="0"/>
        <w:autoSpaceDN w:val="0"/>
        <w:adjustRightInd w:val="0"/>
        <w:spacing w:after="0" w:line="240" w:lineRule="auto"/>
        <w:rPr>
          <w:rFonts w:ascii="Times New Roman" w:hAnsi="Times New Roman" w:cs="Times New Roman"/>
          <w:color w:val="000000"/>
          <w:sz w:val="28"/>
          <w:szCs w:val="28"/>
        </w:rPr>
      </w:pPr>
    </w:p>
    <w:p w14:paraId="47F869EC" w14:textId="6E758599"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Брест</w:t>
      </w:r>
    </w:p>
    <w:p w14:paraId="20044DBD" w14:textId="2D932E00" w:rsidR="0090708E" w:rsidRPr="0090708E"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r w:rsidRPr="0090708E">
        <w:rPr>
          <w:rFonts w:ascii="Times New Roman" w:hAnsi="Times New Roman" w:cs="Times New Roman"/>
          <w:color w:val="000000"/>
          <w:sz w:val="28"/>
          <w:szCs w:val="28"/>
        </w:rPr>
        <w:t>БрГУ имени А. С. Пушкина</w:t>
      </w:r>
    </w:p>
    <w:p w14:paraId="60271EAE" w14:textId="7E24C9E8" w:rsidR="0090708E" w:rsidRPr="00281CF9" w:rsidRDefault="0090708E" w:rsidP="0090708E">
      <w:pPr>
        <w:autoSpaceDE w:val="0"/>
        <w:autoSpaceDN w:val="0"/>
        <w:adjustRightInd w:val="0"/>
        <w:spacing w:after="0" w:line="240" w:lineRule="auto"/>
        <w:jc w:val="center"/>
        <w:rPr>
          <w:rFonts w:ascii="Times New Roman" w:hAnsi="Times New Roman" w:cs="Times New Roman"/>
          <w:color w:val="000000"/>
          <w:sz w:val="28"/>
          <w:szCs w:val="28"/>
          <w:lang w:val="be-BY"/>
        </w:rPr>
      </w:pPr>
      <w:r w:rsidRPr="0090708E">
        <w:rPr>
          <w:rFonts w:ascii="Times New Roman" w:hAnsi="Times New Roman" w:cs="Times New Roman"/>
          <w:color w:val="000000"/>
          <w:sz w:val="28"/>
          <w:szCs w:val="28"/>
        </w:rPr>
        <w:t>202</w:t>
      </w:r>
      <w:r w:rsidR="00575792">
        <w:rPr>
          <w:rFonts w:ascii="Times New Roman" w:hAnsi="Times New Roman" w:cs="Times New Roman"/>
          <w:color w:val="000000"/>
          <w:sz w:val="28"/>
          <w:szCs w:val="28"/>
          <w:lang w:val="be-BY"/>
        </w:rPr>
        <w:t>4</w:t>
      </w:r>
    </w:p>
    <w:p w14:paraId="5FFD6458"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8"/>
          <w:szCs w:val="28"/>
        </w:rPr>
      </w:pPr>
    </w:p>
    <w:p w14:paraId="57D0DCF0" w14:textId="04D862A2" w:rsidR="0090708E" w:rsidRPr="0090708E" w:rsidRDefault="0090708E" w:rsidP="00C302EE">
      <w:pPr>
        <w:autoSpaceDE w:val="0"/>
        <w:autoSpaceDN w:val="0"/>
        <w:adjustRightInd w:val="0"/>
        <w:spacing w:after="0" w:line="240" w:lineRule="auto"/>
        <w:ind w:left="1416" w:firstLine="708"/>
        <w:rPr>
          <w:rFonts w:ascii="Times New Roman" w:hAnsi="Times New Roman" w:cs="Times New Roman"/>
          <w:color w:val="000000"/>
          <w:sz w:val="24"/>
          <w:szCs w:val="24"/>
        </w:rPr>
      </w:pPr>
      <w:r w:rsidRPr="0090708E">
        <w:rPr>
          <w:rFonts w:ascii="Times New Roman" w:hAnsi="Times New Roman" w:cs="Times New Roman"/>
          <w:i/>
          <w:color w:val="000000"/>
          <w:sz w:val="24"/>
          <w:szCs w:val="24"/>
        </w:rPr>
        <w:t xml:space="preserve"> </w:t>
      </w:r>
      <w:r w:rsidRPr="0090708E">
        <w:rPr>
          <w:rFonts w:ascii="Times New Roman" w:hAnsi="Times New Roman" w:cs="Times New Roman"/>
          <w:color w:val="000000"/>
          <w:sz w:val="24"/>
          <w:szCs w:val="24"/>
        </w:rPr>
        <w:tab/>
      </w:r>
      <w:r w:rsidRPr="0090708E">
        <w:rPr>
          <w:rFonts w:ascii="Times New Roman" w:hAnsi="Times New Roman" w:cs="Times New Roman"/>
          <w:color w:val="000000"/>
          <w:sz w:val="24"/>
          <w:szCs w:val="24"/>
        </w:rPr>
        <w:tab/>
      </w:r>
      <w:r w:rsidRPr="0090708E">
        <w:rPr>
          <w:rFonts w:ascii="Times New Roman" w:hAnsi="Times New Roman" w:cs="Times New Roman"/>
          <w:color w:val="000000"/>
          <w:sz w:val="24"/>
          <w:szCs w:val="24"/>
        </w:rPr>
        <w:tab/>
        <w:t xml:space="preserve">   © УО «Брестский государственный </w:t>
      </w:r>
    </w:p>
    <w:p w14:paraId="02B8DA54" w14:textId="3C9EEE61" w:rsidR="0090708E" w:rsidRPr="0090708E" w:rsidRDefault="0090708E" w:rsidP="0090708E">
      <w:pPr>
        <w:autoSpaceDE w:val="0"/>
        <w:autoSpaceDN w:val="0"/>
        <w:adjustRightInd w:val="0"/>
        <w:spacing w:after="0" w:line="240" w:lineRule="auto"/>
        <w:ind w:left="4248"/>
        <w:rPr>
          <w:rFonts w:ascii="Times New Roman" w:hAnsi="Times New Roman" w:cs="Times New Roman"/>
          <w:color w:val="000000"/>
          <w:sz w:val="24"/>
          <w:szCs w:val="24"/>
        </w:rPr>
      </w:pPr>
      <w:r w:rsidRPr="0090708E">
        <w:rPr>
          <w:rFonts w:ascii="Times New Roman" w:hAnsi="Times New Roman" w:cs="Times New Roman"/>
          <w:color w:val="000000"/>
          <w:sz w:val="24"/>
          <w:szCs w:val="24"/>
        </w:rPr>
        <w:t xml:space="preserve">       университет имени А. С. Пушкина», 202</w:t>
      </w:r>
      <w:r w:rsidR="00575792">
        <w:rPr>
          <w:rFonts w:ascii="Times New Roman" w:hAnsi="Times New Roman" w:cs="Times New Roman"/>
          <w:color w:val="000000"/>
          <w:sz w:val="24"/>
          <w:szCs w:val="24"/>
          <w:lang w:val="be-BY"/>
        </w:rPr>
        <w:t>4</w:t>
      </w:r>
    </w:p>
    <w:p w14:paraId="618DFD2B" w14:textId="77777777" w:rsidR="0090708E" w:rsidRPr="0090708E" w:rsidRDefault="0090708E" w:rsidP="0090708E">
      <w:pPr>
        <w:autoSpaceDE w:val="0"/>
        <w:autoSpaceDN w:val="0"/>
        <w:adjustRightInd w:val="0"/>
        <w:spacing w:after="0" w:line="240" w:lineRule="auto"/>
        <w:ind w:left="4248"/>
        <w:rPr>
          <w:rFonts w:ascii="Times New Roman" w:hAnsi="Times New Roman" w:cs="Times New Roman"/>
          <w:color w:val="000000"/>
          <w:sz w:val="24"/>
          <w:szCs w:val="24"/>
        </w:rPr>
      </w:pPr>
    </w:p>
    <w:p w14:paraId="20FB3069" w14:textId="77777777" w:rsidR="00EA622E" w:rsidRPr="0090708E" w:rsidRDefault="0090708E" w:rsidP="0090708E">
      <w:pPr>
        <w:spacing w:after="0" w:line="240" w:lineRule="auto"/>
        <w:rPr>
          <w:rFonts w:ascii="Times New Roman" w:hAnsi="Times New Roman" w:cs="Times New Roman"/>
          <w:bCs/>
          <w:sz w:val="24"/>
          <w:szCs w:val="24"/>
          <w:u w:val="single"/>
        </w:rPr>
      </w:pPr>
      <w:r w:rsidRPr="0090708E">
        <w:rPr>
          <w:rFonts w:ascii="Times New Roman" w:hAnsi="Times New Roman" w:cs="Times New Roman"/>
          <w:color w:val="000000"/>
          <w:sz w:val="24"/>
          <w:szCs w:val="24"/>
          <w:u w:val="single"/>
        </w:rPr>
        <w:t>Об издании – 1, 2</w:t>
      </w:r>
    </w:p>
    <w:p w14:paraId="4B5CF5CE" w14:textId="77777777" w:rsidR="00EA622E" w:rsidRPr="0090708E" w:rsidRDefault="00EA622E" w:rsidP="00E25B19">
      <w:pPr>
        <w:spacing w:after="0" w:line="240" w:lineRule="auto"/>
        <w:jc w:val="center"/>
        <w:rPr>
          <w:rFonts w:ascii="Times New Roman" w:hAnsi="Times New Roman" w:cs="Times New Roman"/>
          <w:bCs/>
          <w:sz w:val="24"/>
          <w:szCs w:val="24"/>
          <w:lang w:val="be-BY"/>
        </w:rPr>
        <w:sectPr w:rsidR="00EA622E" w:rsidRPr="0090708E" w:rsidSect="009D63FE">
          <w:footerReference w:type="default" r:id="rId8"/>
          <w:pgSz w:w="11906" w:h="16838"/>
          <w:pgMar w:top="1418" w:right="1418" w:bottom="1985" w:left="1418" w:header="709" w:footer="1127" w:gutter="0"/>
          <w:cols w:space="708"/>
          <w:titlePg/>
          <w:docGrid w:linePitch="360"/>
        </w:sectPr>
      </w:pPr>
    </w:p>
    <w:p w14:paraId="7A3929E3" w14:textId="2F331149"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4"/>
          <w:szCs w:val="24"/>
          <w:u w:val="single"/>
        </w:rPr>
      </w:pPr>
      <w:r w:rsidRPr="0076503B">
        <w:rPr>
          <w:rFonts w:ascii="Times New Roman" w:hAnsi="Times New Roman" w:cs="Times New Roman"/>
          <w:color w:val="000000"/>
          <w:sz w:val="24"/>
          <w:szCs w:val="24"/>
          <w:u w:val="single"/>
        </w:rPr>
        <w:lastRenderedPageBreak/>
        <w:t>1 – сведения об издании</w:t>
      </w:r>
    </w:p>
    <w:p w14:paraId="572F63FB" w14:textId="77777777" w:rsidR="0090708E" w:rsidRPr="00296459"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p>
    <w:p w14:paraId="7E08F5CD" w14:textId="77777777" w:rsidR="0090708E" w:rsidRPr="00B62EBE" w:rsidRDefault="0090708E" w:rsidP="0090708E">
      <w:pPr>
        <w:autoSpaceDE w:val="0"/>
        <w:autoSpaceDN w:val="0"/>
        <w:adjustRightInd w:val="0"/>
        <w:spacing w:after="0" w:line="240" w:lineRule="auto"/>
        <w:rPr>
          <w:rFonts w:ascii="Times New Roman" w:hAnsi="Times New Roman" w:cs="Times New Roman"/>
          <w:color w:val="000000"/>
          <w:sz w:val="28"/>
          <w:szCs w:val="28"/>
        </w:rPr>
      </w:pPr>
      <w:r w:rsidRPr="00B62EBE">
        <w:rPr>
          <w:rFonts w:ascii="Times New Roman" w:hAnsi="Times New Roman" w:cs="Times New Roman"/>
          <w:color w:val="000000"/>
          <w:sz w:val="28"/>
          <w:szCs w:val="28"/>
        </w:rPr>
        <w:t xml:space="preserve">УДК 94(476)(082)+099.5 </w:t>
      </w:r>
    </w:p>
    <w:p w14:paraId="38CAC1EB" w14:textId="77777777" w:rsidR="0090708E" w:rsidRPr="0090708E" w:rsidRDefault="0090708E" w:rsidP="0090708E">
      <w:pPr>
        <w:autoSpaceDE w:val="0"/>
        <w:autoSpaceDN w:val="0"/>
        <w:adjustRightInd w:val="0"/>
        <w:spacing w:after="0" w:line="240" w:lineRule="auto"/>
        <w:rPr>
          <w:rFonts w:ascii="Times New Roman" w:hAnsi="Times New Roman" w:cs="Times New Roman"/>
          <w:color w:val="000000"/>
          <w:sz w:val="28"/>
          <w:szCs w:val="28"/>
        </w:rPr>
      </w:pPr>
      <w:r w:rsidRPr="00B62EBE">
        <w:rPr>
          <w:rFonts w:ascii="Times New Roman" w:hAnsi="Times New Roman" w:cs="Times New Roman"/>
          <w:color w:val="000000"/>
          <w:sz w:val="28"/>
          <w:szCs w:val="28"/>
        </w:rPr>
        <w:t>ББК 63.3(0)я43</w:t>
      </w:r>
      <w:r w:rsidRPr="0090708E">
        <w:rPr>
          <w:rFonts w:ascii="Times New Roman" w:hAnsi="Times New Roman" w:cs="Times New Roman"/>
          <w:color w:val="000000"/>
          <w:sz w:val="28"/>
          <w:szCs w:val="28"/>
        </w:rPr>
        <w:t xml:space="preserve"> </w:t>
      </w:r>
    </w:p>
    <w:p w14:paraId="501B6614" w14:textId="77777777" w:rsidR="0090708E" w:rsidRPr="00296459" w:rsidRDefault="0090708E" w:rsidP="0090708E">
      <w:pPr>
        <w:autoSpaceDE w:val="0"/>
        <w:autoSpaceDN w:val="0"/>
        <w:adjustRightInd w:val="0"/>
        <w:spacing w:after="0" w:line="240" w:lineRule="auto"/>
        <w:rPr>
          <w:rFonts w:ascii="Times New Roman" w:hAnsi="Times New Roman" w:cs="Times New Roman"/>
          <w:i/>
          <w:iCs/>
          <w:color w:val="000000"/>
          <w:sz w:val="23"/>
          <w:szCs w:val="23"/>
        </w:rPr>
      </w:pPr>
    </w:p>
    <w:p w14:paraId="557E255E" w14:textId="4627FB8F" w:rsidR="0090708E" w:rsidRPr="0005513D"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r w:rsidRPr="0005513D">
        <w:rPr>
          <w:rFonts w:ascii="Times New Roman" w:hAnsi="Times New Roman" w:cs="Times New Roman"/>
          <w:i/>
          <w:iCs/>
          <w:color w:val="000000"/>
          <w:sz w:val="24"/>
          <w:szCs w:val="24"/>
        </w:rPr>
        <w:t>Редакционная коллегия:</w:t>
      </w:r>
    </w:p>
    <w:p w14:paraId="1D5089E9" w14:textId="1E7EBB1B" w:rsidR="00992C32" w:rsidRPr="00992C32" w:rsidRDefault="00992C32" w:rsidP="0090708E">
      <w:pPr>
        <w:autoSpaceDE w:val="0"/>
        <w:autoSpaceDN w:val="0"/>
        <w:adjustRightInd w:val="0"/>
        <w:spacing w:after="0" w:line="240" w:lineRule="auto"/>
        <w:jc w:val="center"/>
        <w:rPr>
          <w:rFonts w:ascii="Times New Roman" w:hAnsi="Times New Roman" w:cs="Times New Roman"/>
          <w:color w:val="000000"/>
          <w:sz w:val="24"/>
          <w:szCs w:val="24"/>
        </w:rPr>
      </w:pPr>
      <w:r w:rsidRPr="00992C32">
        <w:rPr>
          <w:rFonts w:ascii="Times New Roman" w:hAnsi="Times New Roman" w:cs="Times New Roman"/>
          <w:color w:val="000000"/>
          <w:sz w:val="24"/>
          <w:szCs w:val="24"/>
        </w:rPr>
        <w:t>заведующий кафедрой всеобщей истории БрГУ имени А.С. Пушкина,</w:t>
      </w:r>
    </w:p>
    <w:p w14:paraId="51D9E42C" w14:textId="35C77D0C" w:rsidR="0090708E" w:rsidRPr="00992C32" w:rsidRDefault="0090708E" w:rsidP="0090708E">
      <w:pPr>
        <w:autoSpaceDE w:val="0"/>
        <w:autoSpaceDN w:val="0"/>
        <w:adjustRightInd w:val="0"/>
        <w:spacing w:after="0" w:line="240" w:lineRule="auto"/>
        <w:jc w:val="center"/>
        <w:rPr>
          <w:rFonts w:ascii="Times New Roman" w:hAnsi="Times New Roman" w:cs="Times New Roman"/>
          <w:b/>
          <w:bCs/>
          <w:color w:val="000000"/>
          <w:sz w:val="24"/>
          <w:szCs w:val="24"/>
        </w:rPr>
      </w:pPr>
      <w:r w:rsidRPr="00992C32">
        <w:rPr>
          <w:rFonts w:ascii="Times New Roman" w:hAnsi="Times New Roman" w:cs="Times New Roman"/>
          <w:color w:val="000000"/>
          <w:sz w:val="24"/>
          <w:szCs w:val="24"/>
        </w:rPr>
        <w:t xml:space="preserve">кандидат исторических наук, доцент </w:t>
      </w:r>
      <w:r w:rsidRPr="00992C32">
        <w:rPr>
          <w:rFonts w:ascii="Times New Roman" w:hAnsi="Times New Roman" w:cs="Times New Roman"/>
          <w:b/>
          <w:bCs/>
          <w:color w:val="000000"/>
          <w:sz w:val="24"/>
          <w:szCs w:val="24"/>
        </w:rPr>
        <w:t>Е. И. Пашкович</w:t>
      </w:r>
    </w:p>
    <w:p w14:paraId="1486961A" w14:textId="77777777" w:rsidR="00BD2FA8" w:rsidRDefault="00BD2FA8" w:rsidP="0090708E">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доцент кафедры </w:t>
      </w:r>
      <w:r w:rsidRPr="00992C32">
        <w:rPr>
          <w:rFonts w:ascii="Times New Roman" w:hAnsi="Times New Roman" w:cs="Times New Roman"/>
          <w:color w:val="000000"/>
          <w:sz w:val="24"/>
          <w:szCs w:val="24"/>
        </w:rPr>
        <w:t>всеобщей истории БрГУ имени А.С. Пушкина</w:t>
      </w:r>
      <w:r>
        <w:rPr>
          <w:rFonts w:ascii="Times New Roman" w:hAnsi="Times New Roman" w:cs="Times New Roman"/>
          <w:color w:val="000000"/>
          <w:sz w:val="24"/>
          <w:szCs w:val="24"/>
        </w:rPr>
        <w:t>,</w:t>
      </w:r>
    </w:p>
    <w:p w14:paraId="2F135ABB" w14:textId="71214897" w:rsidR="0090708E" w:rsidRDefault="0090708E" w:rsidP="0090708E">
      <w:pPr>
        <w:autoSpaceDE w:val="0"/>
        <w:autoSpaceDN w:val="0"/>
        <w:adjustRightInd w:val="0"/>
        <w:spacing w:after="0" w:line="240" w:lineRule="auto"/>
        <w:jc w:val="center"/>
        <w:rPr>
          <w:rFonts w:ascii="Times New Roman" w:hAnsi="Times New Roman" w:cs="Times New Roman"/>
          <w:b/>
          <w:bCs/>
          <w:color w:val="000000"/>
          <w:sz w:val="24"/>
          <w:szCs w:val="24"/>
        </w:rPr>
      </w:pPr>
      <w:r w:rsidRPr="00BD2FA8">
        <w:rPr>
          <w:rFonts w:ascii="Times New Roman" w:hAnsi="Times New Roman" w:cs="Times New Roman"/>
          <w:color w:val="000000"/>
          <w:sz w:val="24"/>
          <w:szCs w:val="24"/>
        </w:rPr>
        <w:t xml:space="preserve">кандидат исторических наук, доцент </w:t>
      </w:r>
      <w:r w:rsidRPr="00BD2FA8">
        <w:rPr>
          <w:rFonts w:ascii="Times New Roman" w:hAnsi="Times New Roman" w:cs="Times New Roman"/>
          <w:b/>
          <w:bCs/>
          <w:color w:val="000000"/>
          <w:sz w:val="24"/>
          <w:szCs w:val="24"/>
        </w:rPr>
        <w:t>Е. С. Розенблат</w:t>
      </w:r>
      <w:r w:rsidR="00C542D8">
        <w:rPr>
          <w:rFonts w:ascii="Times New Roman" w:hAnsi="Times New Roman" w:cs="Times New Roman"/>
          <w:b/>
          <w:bCs/>
          <w:color w:val="000000"/>
          <w:sz w:val="24"/>
          <w:szCs w:val="24"/>
        </w:rPr>
        <w:t>,</w:t>
      </w:r>
    </w:p>
    <w:p w14:paraId="751A33C8" w14:textId="77777777" w:rsidR="00C542D8" w:rsidRDefault="00C542D8" w:rsidP="00C542D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доцент кафедры </w:t>
      </w:r>
      <w:r w:rsidRPr="00992C32">
        <w:rPr>
          <w:rFonts w:ascii="Times New Roman" w:hAnsi="Times New Roman" w:cs="Times New Roman"/>
          <w:color w:val="000000"/>
          <w:sz w:val="24"/>
          <w:szCs w:val="24"/>
        </w:rPr>
        <w:t>всеобщей истории БрГУ имени А.С. Пушкина</w:t>
      </w:r>
      <w:r>
        <w:rPr>
          <w:rFonts w:ascii="Times New Roman" w:hAnsi="Times New Roman" w:cs="Times New Roman"/>
          <w:color w:val="000000"/>
          <w:sz w:val="24"/>
          <w:szCs w:val="24"/>
        </w:rPr>
        <w:t>,</w:t>
      </w:r>
    </w:p>
    <w:p w14:paraId="24EABA39" w14:textId="56B63283" w:rsidR="00C542D8" w:rsidRPr="0005513D" w:rsidRDefault="00C542D8" w:rsidP="00C542D8">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 xml:space="preserve">кандидат исторических наук, доцент </w:t>
      </w:r>
      <w:r>
        <w:rPr>
          <w:rFonts w:ascii="Times New Roman" w:hAnsi="Times New Roman" w:cs="Times New Roman"/>
          <w:b/>
          <w:bCs/>
          <w:color w:val="000000"/>
          <w:sz w:val="24"/>
          <w:szCs w:val="24"/>
        </w:rPr>
        <w:t>Л.В. Харичкова</w:t>
      </w:r>
    </w:p>
    <w:p w14:paraId="5736CA94" w14:textId="77777777" w:rsidR="0090708E" w:rsidRPr="008874E3" w:rsidRDefault="0090708E" w:rsidP="0090708E">
      <w:pPr>
        <w:autoSpaceDE w:val="0"/>
        <w:autoSpaceDN w:val="0"/>
        <w:adjustRightInd w:val="0"/>
        <w:spacing w:after="0" w:line="240" w:lineRule="auto"/>
        <w:jc w:val="center"/>
        <w:rPr>
          <w:rFonts w:ascii="Times New Roman" w:hAnsi="Times New Roman" w:cs="Times New Roman"/>
          <w:i/>
          <w:iCs/>
          <w:color w:val="000000"/>
          <w:sz w:val="16"/>
          <w:szCs w:val="16"/>
        </w:rPr>
      </w:pPr>
    </w:p>
    <w:p w14:paraId="6CAD8E09" w14:textId="426EF654" w:rsidR="0090708E" w:rsidRPr="0005513D"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r w:rsidRPr="0005513D">
        <w:rPr>
          <w:rFonts w:ascii="Times New Roman" w:hAnsi="Times New Roman" w:cs="Times New Roman"/>
          <w:i/>
          <w:iCs/>
          <w:color w:val="000000"/>
          <w:sz w:val="24"/>
          <w:szCs w:val="24"/>
        </w:rPr>
        <w:t>Рецензенты:</w:t>
      </w:r>
    </w:p>
    <w:p w14:paraId="2D63C6D8" w14:textId="30A5EF7E" w:rsidR="0005513D" w:rsidRPr="00BD2FA8" w:rsidRDefault="00BD2FA8" w:rsidP="0090708E">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доцент кафедры истории Беларуси нового и новешего времени,</w:t>
      </w:r>
    </w:p>
    <w:p w14:paraId="335564AC" w14:textId="51D0270F" w:rsidR="0005513D" w:rsidRPr="00BD2FA8"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Б</w:t>
      </w:r>
      <w:r w:rsidR="00BD2FA8" w:rsidRPr="00BD2FA8">
        <w:rPr>
          <w:rFonts w:ascii="Times New Roman" w:hAnsi="Times New Roman" w:cs="Times New Roman"/>
          <w:color w:val="000000"/>
          <w:sz w:val="24"/>
          <w:szCs w:val="24"/>
        </w:rPr>
        <w:t>елорусского</w:t>
      </w:r>
      <w:r w:rsidRPr="00BD2FA8">
        <w:rPr>
          <w:rFonts w:ascii="Times New Roman" w:hAnsi="Times New Roman" w:cs="Times New Roman"/>
          <w:color w:val="000000"/>
          <w:sz w:val="24"/>
          <w:szCs w:val="24"/>
        </w:rPr>
        <w:t xml:space="preserve"> государственн</w:t>
      </w:r>
      <w:r w:rsidR="00BD2FA8" w:rsidRPr="00BD2FA8">
        <w:rPr>
          <w:rFonts w:ascii="Times New Roman" w:hAnsi="Times New Roman" w:cs="Times New Roman"/>
          <w:color w:val="000000"/>
          <w:sz w:val="24"/>
          <w:szCs w:val="24"/>
        </w:rPr>
        <w:t>ого</w:t>
      </w:r>
      <w:r w:rsidRPr="00BD2FA8">
        <w:rPr>
          <w:rFonts w:ascii="Times New Roman" w:hAnsi="Times New Roman" w:cs="Times New Roman"/>
          <w:color w:val="000000"/>
          <w:sz w:val="24"/>
          <w:szCs w:val="24"/>
        </w:rPr>
        <w:t xml:space="preserve"> университет</w:t>
      </w:r>
      <w:r w:rsidR="00BD2FA8" w:rsidRPr="00BD2FA8">
        <w:rPr>
          <w:rFonts w:ascii="Times New Roman" w:hAnsi="Times New Roman" w:cs="Times New Roman"/>
          <w:color w:val="000000"/>
          <w:sz w:val="24"/>
          <w:szCs w:val="24"/>
        </w:rPr>
        <w:t>а</w:t>
      </w:r>
      <w:r w:rsidRPr="00BD2FA8">
        <w:rPr>
          <w:rFonts w:ascii="Times New Roman" w:hAnsi="Times New Roman" w:cs="Times New Roman"/>
          <w:color w:val="000000"/>
          <w:sz w:val="24"/>
          <w:szCs w:val="24"/>
        </w:rPr>
        <w:t xml:space="preserve">, </w:t>
      </w:r>
    </w:p>
    <w:p w14:paraId="592ED94B" w14:textId="6E03DF0B" w:rsidR="0090708E" w:rsidRPr="00BD2FA8"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 xml:space="preserve">кандидат исторических наук, доцент </w:t>
      </w:r>
      <w:r w:rsidRPr="00BD2FA8">
        <w:rPr>
          <w:rFonts w:ascii="Times New Roman" w:hAnsi="Times New Roman" w:cs="Times New Roman"/>
          <w:b/>
          <w:bCs/>
          <w:color w:val="000000"/>
          <w:sz w:val="24"/>
          <w:szCs w:val="24"/>
        </w:rPr>
        <w:t>Т. В. Лисовская</w:t>
      </w:r>
    </w:p>
    <w:p w14:paraId="2EE79F61" w14:textId="1129D9C4" w:rsidR="0005513D" w:rsidRPr="00BD2FA8" w:rsidRDefault="0090708E" w:rsidP="00BD2FA8">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 xml:space="preserve">доцент кафедры истории </w:t>
      </w:r>
      <w:r w:rsidR="00BD2FA8" w:rsidRPr="00BD2FA8">
        <w:rPr>
          <w:rFonts w:ascii="Times New Roman" w:hAnsi="Times New Roman" w:cs="Times New Roman"/>
          <w:color w:val="000000"/>
          <w:sz w:val="24"/>
          <w:szCs w:val="24"/>
        </w:rPr>
        <w:t xml:space="preserve">Беларуси </w:t>
      </w:r>
      <w:r w:rsidRPr="00BD2FA8">
        <w:rPr>
          <w:rFonts w:ascii="Times New Roman" w:hAnsi="Times New Roman" w:cs="Times New Roman"/>
          <w:color w:val="000000"/>
          <w:sz w:val="24"/>
          <w:szCs w:val="24"/>
        </w:rPr>
        <w:t>Бр</w:t>
      </w:r>
      <w:r w:rsidR="00BD2FA8" w:rsidRPr="00BD2FA8">
        <w:rPr>
          <w:rFonts w:ascii="Times New Roman" w:hAnsi="Times New Roman" w:cs="Times New Roman"/>
          <w:color w:val="000000"/>
          <w:sz w:val="24"/>
          <w:szCs w:val="24"/>
        </w:rPr>
        <w:t>ГУ</w:t>
      </w:r>
      <w:r w:rsidRPr="00BD2FA8">
        <w:rPr>
          <w:rFonts w:ascii="Times New Roman" w:hAnsi="Times New Roman" w:cs="Times New Roman"/>
          <w:color w:val="000000"/>
          <w:sz w:val="24"/>
          <w:szCs w:val="24"/>
        </w:rPr>
        <w:t xml:space="preserve"> имени А. С. Пушкина, </w:t>
      </w:r>
    </w:p>
    <w:p w14:paraId="7552ECFB" w14:textId="6475E970" w:rsidR="0090708E" w:rsidRPr="0005513D" w:rsidRDefault="0090708E" w:rsidP="0090708E">
      <w:pPr>
        <w:autoSpaceDE w:val="0"/>
        <w:autoSpaceDN w:val="0"/>
        <w:adjustRightInd w:val="0"/>
        <w:spacing w:after="0" w:line="240" w:lineRule="auto"/>
        <w:jc w:val="center"/>
        <w:rPr>
          <w:rFonts w:ascii="Times New Roman" w:hAnsi="Times New Roman" w:cs="Times New Roman"/>
          <w:color w:val="000000"/>
          <w:sz w:val="24"/>
          <w:szCs w:val="24"/>
        </w:rPr>
      </w:pPr>
      <w:r w:rsidRPr="00BD2FA8">
        <w:rPr>
          <w:rFonts w:ascii="Times New Roman" w:hAnsi="Times New Roman" w:cs="Times New Roman"/>
          <w:color w:val="000000"/>
          <w:sz w:val="24"/>
          <w:szCs w:val="24"/>
        </w:rPr>
        <w:t xml:space="preserve">кандидат </w:t>
      </w:r>
      <w:r w:rsidR="00BD2FA8" w:rsidRPr="00BD2FA8">
        <w:rPr>
          <w:rFonts w:ascii="Times New Roman" w:hAnsi="Times New Roman" w:cs="Times New Roman"/>
          <w:color w:val="000000"/>
          <w:sz w:val="24"/>
          <w:szCs w:val="24"/>
        </w:rPr>
        <w:t>исторических</w:t>
      </w:r>
      <w:r w:rsidRPr="00BD2FA8">
        <w:rPr>
          <w:rFonts w:ascii="Times New Roman" w:hAnsi="Times New Roman" w:cs="Times New Roman"/>
          <w:color w:val="000000"/>
          <w:sz w:val="24"/>
          <w:szCs w:val="24"/>
        </w:rPr>
        <w:t xml:space="preserve"> наук, доцент </w:t>
      </w:r>
      <w:r w:rsidR="00BD2FA8" w:rsidRPr="00BD2FA8">
        <w:rPr>
          <w:rFonts w:ascii="Times New Roman" w:hAnsi="Times New Roman" w:cs="Times New Roman"/>
          <w:b/>
          <w:bCs/>
          <w:color w:val="000000"/>
          <w:sz w:val="24"/>
          <w:szCs w:val="24"/>
        </w:rPr>
        <w:t>Т.П. Савчук</w:t>
      </w:r>
    </w:p>
    <w:p w14:paraId="589184F1" w14:textId="77777777" w:rsidR="0005513D" w:rsidRPr="00296459" w:rsidRDefault="0005513D" w:rsidP="0090708E">
      <w:pPr>
        <w:autoSpaceDE w:val="0"/>
        <w:autoSpaceDN w:val="0"/>
        <w:adjustRightInd w:val="0"/>
        <w:spacing w:after="0" w:line="240" w:lineRule="auto"/>
        <w:rPr>
          <w:rFonts w:ascii="Times New Roman" w:hAnsi="Times New Roman" w:cs="Times New Roman"/>
          <w:b/>
          <w:bCs/>
          <w:color w:val="000000"/>
          <w:sz w:val="28"/>
          <w:szCs w:val="28"/>
        </w:rPr>
      </w:pPr>
    </w:p>
    <w:p w14:paraId="095A581E" w14:textId="61984E91" w:rsidR="0090708E" w:rsidRPr="0097408C" w:rsidRDefault="0090708E" w:rsidP="0005513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0708E">
        <w:rPr>
          <w:rFonts w:ascii="Times New Roman" w:hAnsi="Times New Roman" w:cs="Times New Roman"/>
          <w:b/>
          <w:bCs/>
          <w:color w:val="000000"/>
          <w:sz w:val="28"/>
          <w:szCs w:val="28"/>
        </w:rPr>
        <w:t xml:space="preserve">Историческая </w:t>
      </w:r>
      <w:r w:rsidRPr="0090708E">
        <w:rPr>
          <w:rFonts w:ascii="Times New Roman" w:hAnsi="Times New Roman" w:cs="Times New Roman"/>
          <w:color w:val="000000"/>
          <w:sz w:val="28"/>
          <w:szCs w:val="28"/>
        </w:rPr>
        <w:t>наука: достижения, проблемы, перспективы [Электронный ресурс] : электрон. сб. материалов Х</w:t>
      </w:r>
      <w:r w:rsidR="0005513D">
        <w:rPr>
          <w:rFonts w:ascii="Times New Roman" w:hAnsi="Times New Roman" w:cs="Times New Roman"/>
          <w:color w:val="000000"/>
          <w:sz w:val="28"/>
          <w:szCs w:val="28"/>
          <w:lang w:val="en-US"/>
        </w:rPr>
        <w:t>V</w:t>
      </w:r>
      <w:r w:rsidR="00B62EBE">
        <w:rPr>
          <w:rFonts w:ascii="Times New Roman" w:hAnsi="Times New Roman" w:cs="Times New Roman"/>
          <w:color w:val="000000"/>
          <w:sz w:val="28"/>
          <w:szCs w:val="28"/>
          <w:lang w:val="en-US"/>
        </w:rPr>
        <w:t>I</w:t>
      </w:r>
      <w:r w:rsidRPr="0090708E">
        <w:rPr>
          <w:rFonts w:ascii="Times New Roman" w:hAnsi="Times New Roman" w:cs="Times New Roman"/>
          <w:color w:val="000000"/>
          <w:sz w:val="28"/>
          <w:szCs w:val="28"/>
        </w:rPr>
        <w:t xml:space="preserve"> Респ. науч.-практ. конф. студентов, магистрантов и молодых ученых, Брест, </w:t>
      </w:r>
      <w:r w:rsidR="00281CF9">
        <w:rPr>
          <w:rFonts w:ascii="Times New Roman" w:hAnsi="Times New Roman" w:cs="Times New Roman"/>
          <w:color w:val="000000"/>
          <w:sz w:val="28"/>
          <w:szCs w:val="28"/>
          <w:lang w:val="be-BY"/>
        </w:rPr>
        <w:t>2</w:t>
      </w:r>
      <w:r w:rsidR="00B62EBE">
        <w:rPr>
          <w:rFonts w:ascii="Times New Roman" w:hAnsi="Times New Roman" w:cs="Times New Roman"/>
          <w:color w:val="000000"/>
          <w:sz w:val="28"/>
          <w:szCs w:val="28"/>
          <w:lang w:val="be-BY"/>
        </w:rPr>
        <w:t>3</w:t>
      </w:r>
      <w:r w:rsidRPr="0090708E">
        <w:rPr>
          <w:rFonts w:ascii="Times New Roman" w:hAnsi="Times New Roman" w:cs="Times New Roman"/>
          <w:color w:val="000000"/>
          <w:sz w:val="28"/>
          <w:szCs w:val="28"/>
        </w:rPr>
        <w:t xml:space="preserve"> </w:t>
      </w:r>
      <w:r w:rsidR="00B62EBE">
        <w:rPr>
          <w:rFonts w:ascii="Times New Roman" w:hAnsi="Times New Roman" w:cs="Times New Roman"/>
          <w:color w:val="000000"/>
          <w:sz w:val="28"/>
          <w:szCs w:val="28"/>
        </w:rPr>
        <w:t>мая</w:t>
      </w:r>
      <w:r w:rsidRPr="0090708E">
        <w:rPr>
          <w:rFonts w:ascii="Times New Roman" w:hAnsi="Times New Roman" w:cs="Times New Roman"/>
          <w:color w:val="000000"/>
          <w:sz w:val="28"/>
          <w:szCs w:val="28"/>
        </w:rPr>
        <w:t>. 202</w:t>
      </w:r>
      <w:r w:rsidR="00B62EBE">
        <w:rPr>
          <w:rFonts w:ascii="Times New Roman" w:hAnsi="Times New Roman" w:cs="Times New Roman"/>
          <w:color w:val="000000"/>
          <w:sz w:val="28"/>
          <w:szCs w:val="28"/>
          <w:lang w:val="be-BY"/>
        </w:rPr>
        <w:t>4</w:t>
      </w:r>
      <w:r w:rsidRPr="0090708E">
        <w:rPr>
          <w:rFonts w:ascii="Times New Roman" w:hAnsi="Times New Roman" w:cs="Times New Roman"/>
          <w:color w:val="000000"/>
          <w:sz w:val="28"/>
          <w:szCs w:val="28"/>
        </w:rPr>
        <w:t xml:space="preserve"> г. / Брест. гос. ун-т им. А. С. Пушкина ; редкол. </w:t>
      </w:r>
      <w:r w:rsidR="0005513D" w:rsidRPr="00575792">
        <w:rPr>
          <w:rFonts w:ascii="Times New Roman" w:hAnsi="Times New Roman" w:cs="Times New Roman"/>
          <w:color w:val="000000"/>
          <w:sz w:val="28"/>
          <w:szCs w:val="28"/>
        </w:rPr>
        <w:t>Е</w:t>
      </w:r>
      <w:r w:rsidRPr="00575792">
        <w:rPr>
          <w:rFonts w:ascii="Times New Roman" w:hAnsi="Times New Roman" w:cs="Times New Roman"/>
          <w:color w:val="000000"/>
          <w:sz w:val="28"/>
          <w:szCs w:val="28"/>
        </w:rPr>
        <w:t xml:space="preserve">. </w:t>
      </w:r>
      <w:r w:rsidR="0005513D" w:rsidRPr="00575792">
        <w:rPr>
          <w:rFonts w:ascii="Times New Roman" w:hAnsi="Times New Roman" w:cs="Times New Roman"/>
          <w:color w:val="000000"/>
          <w:sz w:val="28"/>
          <w:szCs w:val="28"/>
        </w:rPr>
        <w:t>И</w:t>
      </w:r>
      <w:r w:rsidRPr="00575792">
        <w:rPr>
          <w:rFonts w:ascii="Times New Roman" w:hAnsi="Times New Roman" w:cs="Times New Roman"/>
          <w:color w:val="000000"/>
          <w:sz w:val="28"/>
          <w:szCs w:val="28"/>
        </w:rPr>
        <w:t xml:space="preserve">. </w:t>
      </w:r>
      <w:r w:rsidR="0005513D" w:rsidRPr="00575792">
        <w:rPr>
          <w:rFonts w:ascii="Times New Roman" w:hAnsi="Times New Roman" w:cs="Times New Roman"/>
          <w:color w:val="000000"/>
          <w:sz w:val="28"/>
          <w:szCs w:val="28"/>
        </w:rPr>
        <w:t>Пашкович</w:t>
      </w:r>
      <w:r w:rsidRPr="0090708E">
        <w:rPr>
          <w:rFonts w:ascii="Times New Roman" w:hAnsi="Times New Roman" w:cs="Times New Roman"/>
          <w:color w:val="000000"/>
          <w:sz w:val="28"/>
          <w:szCs w:val="28"/>
        </w:rPr>
        <w:t xml:space="preserve"> [и др.]. – Брест : БрГУ, 202</w:t>
      </w:r>
      <w:r w:rsidR="00575792">
        <w:rPr>
          <w:rFonts w:ascii="Times New Roman" w:hAnsi="Times New Roman" w:cs="Times New Roman"/>
          <w:color w:val="000000"/>
          <w:sz w:val="28"/>
          <w:szCs w:val="28"/>
          <w:lang w:val="be-BY"/>
        </w:rPr>
        <w:t>4</w:t>
      </w:r>
      <w:r w:rsidRPr="0090708E">
        <w:rPr>
          <w:rFonts w:ascii="Times New Roman" w:hAnsi="Times New Roman" w:cs="Times New Roman"/>
          <w:color w:val="000000"/>
          <w:sz w:val="28"/>
          <w:szCs w:val="28"/>
        </w:rPr>
        <w:t xml:space="preserve">. – </w:t>
      </w:r>
      <w:r w:rsidR="00B62EBE">
        <w:rPr>
          <w:rFonts w:ascii="Times New Roman" w:hAnsi="Times New Roman" w:cs="Times New Roman"/>
          <w:color w:val="000000"/>
          <w:sz w:val="28"/>
          <w:szCs w:val="28"/>
          <w:lang w:val="be-BY"/>
        </w:rPr>
        <w:t>15</w:t>
      </w:r>
      <w:r w:rsidR="008025FB">
        <w:rPr>
          <w:rFonts w:ascii="Times New Roman" w:hAnsi="Times New Roman" w:cs="Times New Roman"/>
          <w:color w:val="000000"/>
          <w:sz w:val="28"/>
          <w:szCs w:val="28"/>
          <w:lang w:val="be-BY"/>
        </w:rPr>
        <w:t>1</w:t>
      </w:r>
      <w:r w:rsidR="00B62EBE">
        <w:rPr>
          <w:rFonts w:ascii="Times New Roman" w:hAnsi="Times New Roman" w:cs="Times New Roman"/>
          <w:color w:val="000000"/>
          <w:sz w:val="28"/>
          <w:szCs w:val="28"/>
        </w:rPr>
        <w:t xml:space="preserve"> с.</w:t>
      </w:r>
    </w:p>
    <w:p w14:paraId="6CE3F9DD" w14:textId="77777777" w:rsidR="001A3BF3" w:rsidRDefault="001A3BF3" w:rsidP="0090708E">
      <w:pPr>
        <w:autoSpaceDE w:val="0"/>
        <w:autoSpaceDN w:val="0"/>
        <w:adjustRightInd w:val="0"/>
        <w:spacing w:after="0" w:line="240" w:lineRule="auto"/>
        <w:rPr>
          <w:rFonts w:ascii="Times New Roman" w:hAnsi="Times New Roman" w:cs="Times New Roman"/>
          <w:color w:val="000000"/>
          <w:sz w:val="23"/>
          <w:szCs w:val="23"/>
        </w:rPr>
      </w:pPr>
    </w:p>
    <w:p w14:paraId="5DF2DCFE" w14:textId="77777777" w:rsidR="0005513D" w:rsidRPr="0005513D" w:rsidRDefault="0090708E" w:rsidP="0005513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5513D">
        <w:rPr>
          <w:rFonts w:ascii="Times New Roman" w:hAnsi="Times New Roman" w:cs="Times New Roman"/>
          <w:color w:val="000000"/>
          <w:sz w:val="24"/>
          <w:szCs w:val="24"/>
        </w:rPr>
        <w:t>В сборник включены доклады, посвященные широкому кругу актуальных проблем истории Беларуси, всемирной истории, исторической памяти, устной истории,</w:t>
      </w:r>
      <w:r w:rsidR="0005513D" w:rsidRPr="0005513D">
        <w:rPr>
          <w:rFonts w:ascii="Times New Roman" w:hAnsi="Times New Roman" w:cs="Times New Roman"/>
          <w:color w:val="000000"/>
          <w:sz w:val="24"/>
          <w:szCs w:val="24"/>
        </w:rPr>
        <w:t xml:space="preserve"> </w:t>
      </w:r>
      <w:r w:rsidRPr="0005513D">
        <w:rPr>
          <w:rFonts w:ascii="Times New Roman" w:hAnsi="Times New Roman" w:cs="Times New Roman"/>
          <w:color w:val="000000"/>
          <w:sz w:val="24"/>
          <w:szCs w:val="24"/>
        </w:rPr>
        <w:t xml:space="preserve">урбанистики, этнографии и археологии. </w:t>
      </w:r>
    </w:p>
    <w:p w14:paraId="0FDAD2DF" w14:textId="4914D36A" w:rsidR="0090708E" w:rsidRPr="0005513D" w:rsidRDefault="0090708E" w:rsidP="0005513D">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5513D">
        <w:rPr>
          <w:rFonts w:ascii="Times New Roman" w:hAnsi="Times New Roman" w:cs="Times New Roman"/>
          <w:color w:val="000000"/>
          <w:sz w:val="24"/>
          <w:szCs w:val="24"/>
        </w:rPr>
        <w:t xml:space="preserve">Адресуется обучающимся учреждений образования, преподавателям, а также работникам сферы культуры и государственного управления. </w:t>
      </w:r>
    </w:p>
    <w:p w14:paraId="58D870A7" w14:textId="77777777" w:rsidR="0090708E" w:rsidRPr="0005513D" w:rsidRDefault="0090708E" w:rsidP="0090708E">
      <w:pPr>
        <w:autoSpaceDE w:val="0"/>
        <w:autoSpaceDN w:val="0"/>
        <w:adjustRightInd w:val="0"/>
        <w:spacing w:after="0" w:line="240" w:lineRule="auto"/>
        <w:rPr>
          <w:rFonts w:ascii="Times New Roman" w:hAnsi="Times New Roman" w:cs="Times New Roman"/>
          <w:color w:val="000000"/>
          <w:sz w:val="24"/>
          <w:szCs w:val="24"/>
        </w:rPr>
      </w:pPr>
      <w:r w:rsidRPr="0005513D">
        <w:rPr>
          <w:rFonts w:ascii="Times New Roman" w:hAnsi="Times New Roman" w:cs="Times New Roman"/>
          <w:color w:val="000000"/>
          <w:sz w:val="24"/>
          <w:szCs w:val="24"/>
        </w:rPr>
        <w:t xml:space="preserve">Разработано в PDF-формате. </w:t>
      </w:r>
    </w:p>
    <w:p w14:paraId="3EFF6CDD" w14:textId="77777777" w:rsidR="0005513D" w:rsidRDefault="0005513D" w:rsidP="0090708E">
      <w:pPr>
        <w:autoSpaceDE w:val="0"/>
        <w:autoSpaceDN w:val="0"/>
        <w:adjustRightInd w:val="0"/>
        <w:spacing w:after="0" w:line="240" w:lineRule="auto"/>
        <w:rPr>
          <w:rFonts w:ascii="Times New Roman" w:hAnsi="Times New Roman" w:cs="Times New Roman"/>
          <w:b/>
          <w:bCs/>
          <w:color w:val="000000"/>
          <w:sz w:val="23"/>
          <w:szCs w:val="23"/>
        </w:rPr>
      </w:pPr>
    </w:p>
    <w:p w14:paraId="0266A6FD" w14:textId="46F97B84" w:rsidR="0090708E" w:rsidRPr="00B62EBE" w:rsidRDefault="0090708E" w:rsidP="0005513D">
      <w:pPr>
        <w:autoSpaceDE w:val="0"/>
        <w:autoSpaceDN w:val="0"/>
        <w:adjustRightInd w:val="0"/>
        <w:spacing w:after="0" w:line="240" w:lineRule="auto"/>
        <w:jc w:val="right"/>
        <w:rPr>
          <w:rFonts w:ascii="Times New Roman" w:hAnsi="Times New Roman" w:cs="Times New Roman"/>
          <w:color w:val="000000"/>
          <w:sz w:val="23"/>
          <w:szCs w:val="23"/>
        </w:rPr>
      </w:pPr>
      <w:r w:rsidRPr="00B62EBE">
        <w:rPr>
          <w:rFonts w:ascii="Times New Roman" w:hAnsi="Times New Roman" w:cs="Times New Roman"/>
          <w:b/>
          <w:bCs/>
          <w:color w:val="000000"/>
          <w:sz w:val="23"/>
          <w:szCs w:val="23"/>
        </w:rPr>
        <w:t>УДК 94(476)(082)+099.5</w:t>
      </w:r>
    </w:p>
    <w:p w14:paraId="3720F61A" w14:textId="6C045F8D" w:rsidR="0090708E" w:rsidRPr="0090708E" w:rsidRDefault="0090708E" w:rsidP="0005513D">
      <w:pPr>
        <w:autoSpaceDE w:val="0"/>
        <w:autoSpaceDN w:val="0"/>
        <w:adjustRightInd w:val="0"/>
        <w:spacing w:after="0" w:line="240" w:lineRule="auto"/>
        <w:jc w:val="right"/>
        <w:rPr>
          <w:rFonts w:ascii="Times New Roman" w:hAnsi="Times New Roman" w:cs="Times New Roman"/>
          <w:color w:val="000000"/>
          <w:sz w:val="23"/>
          <w:szCs w:val="23"/>
        </w:rPr>
      </w:pPr>
      <w:r w:rsidRPr="00B62EBE">
        <w:rPr>
          <w:rFonts w:ascii="Times New Roman" w:hAnsi="Times New Roman" w:cs="Times New Roman"/>
          <w:b/>
          <w:bCs/>
          <w:color w:val="000000"/>
          <w:sz w:val="23"/>
          <w:szCs w:val="23"/>
        </w:rPr>
        <w:t>ББК 63.3(0)я43</w:t>
      </w:r>
    </w:p>
    <w:p w14:paraId="7ED293F0" w14:textId="77777777" w:rsidR="0005513D" w:rsidRDefault="0005513D" w:rsidP="0090708E">
      <w:pPr>
        <w:autoSpaceDE w:val="0"/>
        <w:autoSpaceDN w:val="0"/>
        <w:adjustRightInd w:val="0"/>
        <w:spacing w:after="0" w:line="240" w:lineRule="auto"/>
        <w:rPr>
          <w:rFonts w:ascii="Times New Roman" w:hAnsi="Times New Roman" w:cs="Times New Roman"/>
          <w:color w:val="000000"/>
          <w:sz w:val="26"/>
          <w:szCs w:val="26"/>
        </w:rPr>
      </w:pPr>
    </w:p>
    <w:p w14:paraId="068E1426" w14:textId="6F8257CB" w:rsidR="0090708E" w:rsidRPr="0005513D" w:rsidRDefault="0090708E" w:rsidP="0005513D">
      <w:pPr>
        <w:autoSpaceDE w:val="0"/>
        <w:autoSpaceDN w:val="0"/>
        <w:adjustRightInd w:val="0"/>
        <w:spacing w:after="0" w:line="240" w:lineRule="auto"/>
        <w:jc w:val="center"/>
        <w:rPr>
          <w:rFonts w:ascii="Times New Roman" w:hAnsi="Times New Roman" w:cs="Times New Roman"/>
          <w:color w:val="000000"/>
          <w:sz w:val="24"/>
          <w:szCs w:val="24"/>
        </w:rPr>
      </w:pPr>
      <w:r w:rsidRPr="0005513D">
        <w:rPr>
          <w:rFonts w:ascii="Times New Roman" w:hAnsi="Times New Roman" w:cs="Times New Roman"/>
          <w:color w:val="000000"/>
          <w:sz w:val="24"/>
          <w:szCs w:val="24"/>
        </w:rPr>
        <w:t>Текстовое научное электронное издание</w:t>
      </w:r>
    </w:p>
    <w:p w14:paraId="77635946" w14:textId="77777777" w:rsidR="0005513D" w:rsidRPr="008874E3" w:rsidRDefault="0005513D" w:rsidP="0005513D">
      <w:pPr>
        <w:autoSpaceDE w:val="0"/>
        <w:autoSpaceDN w:val="0"/>
        <w:adjustRightInd w:val="0"/>
        <w:spacing w:after="0" w:line="240" w:lineRule="auto"/>
        <w:jc w:val="center"/>
        <w:rPr>
          <w:rFonts w:ascii="Times New Roman" w:hAnsi="Times New Roman" w:cs="Times New Roman"/>
          <w:color w:val="000000"/>
          <w:sz w:val="16"/>
          <w:szCs w:val="16"/>
        </w:rPr>
      </w:pPr>
    </w:p>
    <w:p w14:paraId="13A7B1FA" w14:textId="766EFF74" w:rsidR="0090708E" w:rsidRPr="0005513D" w:rsidRDefault="0090708E" w:rsidP="0005513D">
      <w:pPr>
        <w:autoSpaceDE w:val="0"/>
        <w:autoSpaceDN w:val="0"/>
        <w:adjustRightInd w:val="0"/>
        <w:spacing w:after="0" w:line="240" w:lineRule="auto"/>
        <w:jc w:val="center"/>
        <w:rPr>
          <w:rFonts w:ascii="Times New Roman" w:hAnsi="Times New Roman" w:cs="Times New Roman"/>
          <w:color w:val="000000"/>
          <w:sz w:val="24"/>
          <w:szCs w:val="24"/>
        </w:rPr>
      </w:pPr>
      <w:r w:rsidRPr="0005513D">
        <w:rPr>
          <w:rFonts w:ascii="Times New Roman" w:hAnsi="Times New Roman" w:cs="Times New Roman"/>
          <w:color w:val="000000"/>
          <w:sz w:val="24"/>
          <w:szCs w:val="24"/>
        </w:rPr>
        <w:t>Системные требования:</w:t>
      </w:r>
    </w:p>
    <w:p w14:paraId="236371D4" w14:textId="3964DCE6" w:rsidR="0090708E" w:rsidRDefault="0090708E" w:rsidP="0005513D">
      <w:pPr>
        <w:autoSpaceDE w:val="0"/>
        <w:autoSpaceDN w:val="0"/>
        <w:adjustRightInd w:val="0"/>
        <w:spacing w:after="0" w:line="240" w:lineRule="auto"/>
        <w:jc w:val="center"/>
        <w:rPr>
          <w:rFonts w:ascii="Times New Roman" w:hAnsi="Times New Roman" w:cs="Times New Roman"/>
          <w:color w:val="000000"/>
          <w:sz w:val="24"/>
          <w:szCs w:val="24"/>
        </w:rPr>
      </w:pPr>
      <w:r w:rsidRPr="0005513D">
        <w:rPr>
          <w:rFonts w:ascii="Times New Roman" w:hAnsi="Times New Roman" w:cs="Times New Roman"/>
          <w:color w:val="000000"/>
          <w:sz w:val="24"/>
          <w:szCs w:val="24"/>
        </w:rPr>
        <w:t xml:space="preserve">тип браузера и версия любые; скорость подключения к информационно-телекоммуникационным сетям любая; дополнительные надстройки </w:t>
      </w:r>
      <w:r w:rsidR="0005513D">
        <w:rPr>
          <w:rFonts w:ascii="Times New Roman" w:hAnsi="Times New Roman" w:cs="Times New Roman"/>
          <w:color w:val="000000"/>
          <w:sz w:val="24"/>
          <w:szCs w:val="24"/>
        </w:rPr>
        <w:br/>
      </w:r>
      <w:r w:rsidRPr="0005513D">
        <w:rPr>
          <w:rFonts w:ascii="Times New Roman" w:hAnsi="Times New Roman" w:cs="Times New Roman"/>
          <w:color w:val="000000"/>
          <w:sz w:val="24"/>
          <w:szCs w:val="24"/>
        </w:rPr>
        <w:t>к браузеру не требуются.</w:t>
      </w:r>
    </w:p>
    <w:p w14:paraId="6D7B30CE" w14:textId="77777777" w:rsidR="0005513D" w:rsidRPr="0005513D" w:rsidRDefault="0005513D" w:rsidP="0005513D">
      <w:pPr>
        <w:autoSpaceDE w:val="0"/>
        <w:autoSpaceDN w:val="0"/>
        <w:adjustRightInd w:val="0"/>
        <w:spacing w:after="0" w:line="240" w:lineRule="auto"/>
        <w:jc w:val="center"/>
        <w:rPr>
          <w:rFonts w:ascii="Times New Roman" w:hAnsi="Times New Roman" w:cs="Times New Roman"/>
          <w:color w:val="000000"/>
          <w:sz w:val="24"/>
          <w:szCs w:val="24"/>
        </w:rPr>
      </w:pPr>
    </w:p>
    <w:p w14:paraId="391299B9" w14:textId="0FEBED04" w:rsidR="0090708E" w:rsidRPr="00DC142F" w:rsidRDefault="00DC142F" w:rsidP="00DC142F">
      <w:pPr>
        <w:autoSpaceDE w:val="0"/>
        <w:autoSpaceDN w:val="0"/>
        <w:adjustRightInd w:val="0"/>
        <w:spacing w:after="0" w:line="240" w:lineRule="auto"/>
        <w:ind w:left="4248"/>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0708E" w:rsidRPr="00DC142F">
        <w:rPr>
          <w:rFonts w:ascii="Times New Roman" w:hAnsi="Times New Roman" w:cs="Times New Roman"/>
          <w:color w:val="000000"/>
          <w:sz w:val="24"/>
          <w:szCs w:val="24"/>
        </w:rPr>
        <w:t>© УО «Брестский государственный</w:t>
      </w:r>
    </w:p>
    <w:p w14:paraId="178AAD83" w14:textId="06814284" w:rsidR="00792117" w:rsidRPr="00281CF9" w:rsidRDefault="0090708E" w:rsidP="0057563F">
      <w:pPr>
        <w:spacing w:after="0" w:line="240" w:lineRule="auto"/>
        <w:jc w:val="right"/>
        <w:rPr>
          <w:rFonts w:ascii="Times New Roman" w:hAnsi="Times New Roman" w:cs="Times New Roman"/>
          <w:bCs/>
          <w:sz w:val="24"/>
          <w:szCs w:val="24"/>
          <w:lang w:val="be-BY"/>
        </w:rPr>
      </w:pPr>
      <w:r w:rsidRPr="00DC142F">
        <w:rPr>
          <w:rFonts w:ascii="Times New Roman" w:hAnsi="Times New Roman" w:cs="Times New Roman"/>
          <w:color w:val="000000"/>
          <w:sz w:val="24"/>
          <w:szCs w:val="24"/>
        </w:rPr>
        <w:t>университет имени А. С. Пушкина», 202</w:t>
      </w:r>
      <w:r w:rsidR="00575792">
        <w:rPr>
          <w:rFonts w:ascii="Times New Roman" w:hAnsi="Times New Roman" w:cs="Times New Roman"/>
          <w:color w:val="000000"/>
          <w:sz w:val="24"/>
          <w:szCs w:val="24"/>
          <w:lang w:val="be-BY"/>
        </w:rPr>
        <w:t>4</w:t>
      </w:r>
    </w:p>
    <w:p w14:paraId="1E0E7E0C" w14:textId="77777777" w:rsidR="00792117" w:rsidRPr="0090708E" w:rsidRDefault="00792117" w:rsidP="00E25B19">
      <w:pPr>
        <w:spacing w:after="0" w:line="240" w:lineRule="auto"/>
        <w:jc w:val="center"/>
        <w:rPr>
          <w:rFonts w:ascii="Times New Roman" w:hAnsi="Times New Roman" w:cs="Times New Roman"/>
          <w:bCs/>
          <w:sz w:val="28"/>
        </w:rPr>
        <w:sectPr w:rsidR="00792117" w:rsidRPr="0090708E" w:rsidSect="009D63FE">
          <w:pgSz w:w="11906" w:h="16838"/>
          <w:pgMar w:top="1418" w:right="1418" w:bottom="1985" w:left="1418" w:header="709" w:footer="1127" w:gutter="0"/>
          <w:cols w:space="708"/>
          <w:titlePg/>
          <w:docGrid w:linePitch="360"/>
        </w:sectPr>
      </w:pPr>
    </w:p>
    <w:p w14:paraId="79B60F53" w14:textId="4DB9BCF7" w:rsidR="0076503B" w:rsidRPr="0076503B" w:rsidRDefault="0076503B" w:rsidP="0076503B">
      <w:pPr>
        <w:autoSpaceDE w:val="0"/>
        <w:autoSpaceDN w:val="0"/>
        <w:adjustRightInd w:val="0"/>
        <w:spacing w:after="0" w:line="240" w:lineRule="auto"/>
        <w:jc w:val="center"/>
        <w:rPr>
          <w:rFonts w:ascii="Times New Roman" w:hAnsi="Times New Roman" w:cs="Times New Roman"/>
          <w:color w:val="000000"/>
          <w:sz w:val="23"/>
          <w:szCs w:val="23"/>
          <w:u w:val="single"/>
        </w:rPr>
      </w:pPr>
      <w:r w:rsidRPr="0076503B">
        <w:rPr>
          <w:rFonts w:ascii="Times New Roman" w:hAnsi="Times New Roman" w:cs="Times New Roman"/>
          <w:color w:val="000000"/>
          <w:sz w:val="23"/>
          <w:szCs w:val="23"/>
          <w:u w:val="single"/>
        </w:rPr>
        <w:lastRenderedPageBreak/>
        <w:t>2 – производственно-технические сведения</w:t>
      </w:r>
    </w:p>
    <w:p w14:paraId="118C482E" w14:textId="77777777" w:rsidR="0076503B" w:rsidRDefault="0076503B" w:rsidP="0076503B">
      <w:pPr>
        <w:autoSpaceDE w:val="0"/>
        <w:autoSpaceDN w:val="0"/>
        <w:adjustRightInd w:val="0"/>
        <w:spacing w:after="57" w:line="240" w:lineRule="auto"/>
        <w:rPr>
          <w:rFonts w:ascii="Times New Roman" w:hAnsi="Times New Roman" w:cs="Times New Roman"/>
          <w:color w:val="000000"/>
          <w:sz w:val="28"/>
          <w:szCs w:val="28"/>
        </w:rPr>
      </w:pPr>
    </w:p>
    <w:p w14:paraId="5876D08C" w14:textId="5D17C55D" w:rsidR="0076503B" w:rsidRPr="000C69B3" w:rsidRDefault="0076503B" w:rsidP="006F6A4F">
      <w:pPr>
        <w:pStyle w:val="a7"/>
        <w:numPr>
          <w:ilvl w:val="0"/>
          <w:numId w:val="3"/>
        </w:numPr>
        <w:autoSpaceDE w:val="0"/>
        <w:autoSpaceDN w:val="0"/>
        <w:adjustRightInd w:val="0"/>
        <w:spacing w:after="57" w:line="240" w:lineRule="auto"/>
        <w:ind w:left="0" w:firstLine="0"/>
        <w:rPr>
          <w:rFonts w:ascii="Times New Roman" w:hAnsi="Times New Roman" w:cs="Times New Roman"/>
          <w:color w:val="000000"/>
          <w:sz w:val="28"/>
          <w:szCs w:val="28"/>
          <w:lang w:val="en-US"/>
        </w:rPr>
      </w:pPr>
      <w:r w:rsidRPr="000C69B3">
        <w:rPr>
          <w:rFonts w:ascii="Times New Roman" w:hAnsi="Times New Roman" w:cs="Times New Roman"/>
          <w:color w:val="000000"/>
          <w:sz w:val="28"/>
          <w:szCs w:val="28"/>
        </w:rPr>
        <w:t>Использованное</w:t>
      </w:r>
      <w:r w:rsidRPr="000C69B3">
        <w:rPr>
          <w:rFonts w:ascii="Times New Roman" w:hAnsi="Times New Roman" w:cs="Times New Roman"/>
          <w:color w:val="000000"/>
          <w:sz w:val="28"/>
          <w:szCs w:val="28"/>
          <w:lang w:val="en-US"/>
        </w:rPr>
        <w:t xml:space="preserve"> </w:t>
      </w:r>
      <w:r w:rsidRPr="000C69B3">
        <w:rPr>
          <w:rFonts w:ascii="Times New Roman" w:hAnsi="Times New Roman" w:cs="Times New Roman"/>
          <w:color w:val="000000"/>
          <w:sz w:val="28"/>
          <w:szCs w:val="28"/>
        </w:rPr>
        <w:t>ПО</w:t>
      </w:r>
      <w:r w:rsidRPr="000C69B3">
        <w:rPr>
          <w:rFonts w:ascii="Times New Roman" w:hAnsi="Times New Roman" w:cs="Times New Roman"/>
          <w:color w:val="000000"/>
          <w:sz w:val="28"/>
          <w:szCs w:val="28"/>
          <w:lang w:val="en-US"/>
        </w:rPr>
        <w:t xml:space="preserve">: Windows 10, Microsoft Office Word 2010; </w:t>
      </w:r>
    </w:p>
    <w:p w14:paraId="612B6C31" w14:textId="0D323967" w:rsidR="0076503B" w:rsidRPr="000C69B3" w:rsidRDefault="0076503B" w:rsidP="006F6A4F">
      <w:pPr>
        <w:pStyle w:val="a7"/>
        <w:numPr>
          <w:ilvl w:val="0"/>
          <w:numId w:val="3"/>
        </w:numPr>
        <w:autoSpaceDE w:val="0"/>
        <w:autoSpaceDN w:val="0"/>
        <w:adjustRightInd w:val="0"/>
        <w:spacing w:after="57" w:line="240" w:lineRule="auto"/>
        <w:ind w:left="0" w:firstLine="0"/>
        <w:rPr>
          <w:rFonts w:ascii="Times New Roman" w:hAnsi="Times New Roman" w:cs="Times New Roman"/>
          <w:color w:val="000000"/>
          <w:sz w:val="28"/>
          <w:szCs w:val="28"/>
        </w:rPr>
      </w:pPr>
      <w:r w:rsidRPr="000C69B3">
        <w:rPr>
          <w:rFonts w:ascii="Times New Roman" w:hAnsi="Times New Roman" w:cs="Times New Roman"/>
          <w:color w:val="000000"/>
          <w:sz w:val="28"/>
          <w:szCs w:val="28"/>
        </w:rPr>
        <w:t xml:space="preserve">ответственный за выпуск Ж. М. Селюжицкая, технический редактор Н. И. Кравчук, компьютерный набор и верстка Н. И. Кравчук; </w:t>
      </w:r>
    </w:p>
    <w:p w14:paraId="59E26BC4" w14:textId="4F534C5E" w:rsidR="0076503B" w:rsidRPr="000C69B3" w:rsidRDefault="0076503B" w:rsidP="006F6A4F">
      <w:pPr>
        <w:pStyle w:val="a7"/>
        <w:numPr>
          <w:ilvl w:val="0"/>
          <w:numId w:val="3"/>
        </w:numPr>
        <w:autoSpaceDE w:val="0"/>
        <w:autoSpaceDN w:val="0"/>
        <w:adjustRightInd w:val="0"/>
        <w:spacing w:after="57" w:line="240" w:lineRule="auto"/>
        <w:ind w:left="0" w:firstLine="0"/>
        <w:rPr>
          <w:rFonts w:ascii="Times New Roman" w:hAnsi="Times New Roman" w:cs="Times New Roman"/>
          <w:color w:val="000000"/>
          <w:sz w:val="28"/>
          <w:szCs w:val="28"/>
        </w:rPr>
      </w:pPr>
      <w:r w:rsidRPr="000C69B3">
        <w:rPr>
          <w:rFonts w:ascii="Times New Roman" w:hAnsi="Times New Roman" w:cs="Times New Roman"/>
          <w:color w:val="000000"/>
          <w:sz w:val="28"/>
          <w:szCs w:val="28"/>
        </w:rPr>
        <w:t xml:space="preserve">дата размещения на сайте: </w:t>
      </w:r>
      <w:r w:rsidR="000C69B3">
        <w:rPr>
          <w:rFonts w:ascii="Times New Roman" w:hAnsi="Times New Roman" w:cs="Times New Roman"/>
          <w:color w:val="000000"/>
          <w:sz w:val="28"/>
          <w:szCs w:val="28"/>
        </w:rPr>
        <w:t>27</w:t>
      </w:r>
      <w:r w:rsidRPr="000C69B3">
        <w:rPr>
          <w:rFonts w:ascii="Times New Roman" w:hAnsi="Times New Roman" w:cs="Times New Roman"/>
          <w:color w:val="000000"/>
          <w:sz w:val="28"/>
          <w:szCs w:val="28"/>
        </w:rPr>
        <w:t>.</w:t>
      </w:r>
      <w:r w:rsidR="000C69B3">
        <w:rPr>
          <w:rFonts w:ascii="Times New Roman" w:hAnsi="Times New Roman" w:cs="Times New Roman"/>
          <w:color w:val="000000"/>
          <w:sz w:val="28"/>
          <w:szCs w:val="28"/>
        </w:rPr>
        <w:t>12</w:t>
      </w:r>
      <w:r w:rsidRPr="000C69B3">
        <w:rPr>
          <w:rFonts w:ascii="Times New Roman" w:hAnsi="Times New Roman" w:cs="Times New Roman"/>
          <w:color w:val="000000"/>
          <w:sz w:val="28"/>
          <w:szCs w:val="28"/>
        </w:rPr>
        <w:t>.20</w:t>
      </w:r>
      <w:r w:rsidR="00C13BF9" w:rsidRPr="000C69B3">
        <w:rPr>
          <w:rFonts w:ascii="Times New Roman" w:hAnsi="Times New Roman" w:cs="Times New Roman"/>
          <w:color w:val="000000"/>
          <w:sz w:val="28"/>
          <w:szCs w:val="28"/>
          <w:lang w:val="be-BY"/>
        </w:rPr>
        <w:t>2</w:t>
      </w:r>
      <w:r w:rsidR="00575792" w:rsidRPr="000C69B3">
        <w:rPr>
          <w:rFonts w:ascii="Times New Roman" w:hAnsi="Times New Roman" w:cs="Times New Roman"/>
          <w:color w:val="000000"/>
          <w:sz w:val="28"/>
          <w:szCs w:val="28"/>
          <w:lang w:val="be-BY"/>
        </w:rPr>
        <w:t>4</w:t>
      </w:r>
      <w:r w:rsidRPr="000C69B3">
        <w:rPr>
          <w:rFonts w:ascii="Times New Roman" w:hAnsi="Times New Roman" w:cs="Times New Roman"/>
          <w:color w:val="000000"/>
          <w:sz w:val="28"/>
          <w:szCs w:val="28"/>
        </w:rPr>
        <w:t xml:space="preserve">; </w:t>
      </w:r>
    </w:p>
    <w:p w14:paraId="5E4D217B" w14:textId="29F13DF3" w:rsidR="0076503B" w:rsidRPr="000C69B3" w:rsidRDefault="0076503B" w:rsidP="006F6A4F">
      <w:pPr>
        <w:pStyle w:val="a7"/>
        <w:numPr>
          <w:ilvl w:val="0"/>
          <w:numId w:val="3"/>
        </w:numPr>
        <w:autoSpaceDE w:val="0"/>
        <w:autoSpaceDN w:val="0"/>
        <w:adjustRightInd w:val="0"/>
        <w:spacing w:after="57" w:line="240" w:lineRule="auto"/>
        <w:ind w:left="0" w:firstLine="0"/>
        <w:rPr>
          <w:rFonts w:ascii="Times New Roman" w:hAnsi="Times New Roman" w:cs="Times New Roman"/>
          <w:color w:val="000000"/>
          <w:sz w:val="28"/>
          <w:szCs w:val="28"/>
        </w:rPr>
      </w:pPr>
      <w:r w:rsidRPr="000C69B3">
        <w:rPr>
          <w:rFonts w:ascii="Times New Roman" w:hAnsi="Times New Roman" w:cs="Times New Roman"/>
          <w:color w:val="000000"/>
          <w:sz w:val="28"/>
          <w:szCs w:val="28"/>
        </w:rPr>
        <w:t xml:space="preserve">объем издания: 2,70 Мб; </w:t>
      </w:r>
    </w:p>
    <w:p w14:paraId="500A5F5F" w14:textId="05D3A2C8" w:rsidR="0076503B" w:rsidRPr="000C69B3" w:rsidRDefault="0076503B" w:rsidP="006F6A4F">
      <w:pPr>
        <w:pStyle w:val="a7"/>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8"/>
          <w:szCs w:val="28"/>
        </w:rPr>
      </w:pPr>
      <w:r w:rsidRPr="000C69B3">
        <w:rPr>
          <w:rFonts w:ascii="Times New Roman" w:hAnsi="Times New Roman" w:cs="Times New Roman"/>
          <w:color w:val="000000"/>
          <w:sz w:val="28"/>
          <w:szCs w:val="28"/>
        </w:rPr>
        <w:t>производитель: учреждение образования «Брестский государствен- ный университет имени А. С. Пушкина», 224016, г. Брест, ул. Мицке</w:t>
      </w:r>
      <w:r w:rsidRPr="000C69B3">
        <w:rPr>
          <w:rFonts w:ascii="Times New Roman" w:hAnsi="Times New Roman" w:cs="Times New Roman"/>
          <w:color w:val="000000"/>
          <w:sz w:val="28"/>
          <w:szCs w:val="28"/>
          <w:lang w:val="be-BY"/>
        </w:rPr>
        <w:t>-</w:t>
      </w:r>
      <w:r w:rsidRPr="000C69B3">
        <w:rPr>
          <w:rFonts w:ascii="Times New Roman" w:hAnsi="Times New Roman" w:cs="Times New Roman"/>
          <w:color w:val="000000"/>
          <w:sz w:val="28"/>
          <w:szCs w:val="28"/>
        </w:rPr>
        <w:t>вича,</w:t>
      </w:r>
      <w:r w:rsidRPr="000C69B3">
        <w:rPr>
          <w:rFonts w:ascii="Times New Roman" w:hAnsi="Times New Roman" w:cs="Times New Roman"/>
          <w:color w:val="000000"/>
          <w:sz w:val="28"/>
          <w:szCs w:val="28"/>
          <w:lang w:val="be-BY"/>
        </w:rPr>
        <w:t> </w:t>
      </w:r>
      <w:r w:rsidRPr="000C69B3">
        <w:rPr>
          <w:rFonts w:ascii="Times New Roman" w:hAnsi="Times New Roman" w:cs="Times New Roman"/>
          <w:color w:val="000000"/>
          <w:sz w:val="28"/>
          <w:szCs w:val="28"/>
        </w:rPr>
        <w:t xml:space="preserve">28. Тел.: 8(0162) 21-70-55. E-mail: rio@brsu.by. </w:t>
      </w:r>
    </w:p>
    <w:p w14:paraId="44CAE228" w14:textId="77777777" w:rsidR="00792117" w:rsidRPr="0090708E" w:rsidRDefault="00792117" w:rsidP="00E25B19">
      <w:pPr>
        <w:spacing w:after="0" w:line="240" w:lineRule="auto"/>
        <w:jc w:val="center"/>
        <w:rPr>
          <w:rFonts w:ascii="Times New Roman" w:hAnsi="Times New Roman" w:cs="Times New Roman"/>
          <w:bCs/>
          <w:sz w:val="28"/>
        </w:rPr>
      </w:pPr>
    </w:p>
    <w:p w14:paraId="618EDAAC" w14:textId="77777777" w:rsidR="00792117" w:rsidRPr="0090708E" w:rsidRDefault="00792117" w:rsidP="00E25B19">
      <w:pPr>
        <w:spacing w:after="0" w:line="240" w:lineRule="auto"/>
        <w:jc w:val="center"/>
        <w:rPr>
          <w:rFonts w:ascii="Times New Roman" w:hAnsi="Times New Roman" w:cs="Times New Roman"/>
          <w:bCs/>
          <w:sz w:val="28"/>
        </w:rPr>
        <w:sectPr w:rsidR="00792117" w:rsidRPr="0090708E" w:rsidSect="009D63FE">
          <w:pgSz w:w="11906" w:h="16838"/>
          <w:pgMar w:top="1418" w:right="1418" w:bottom="1985" w:left="1418" w:header="709" w:footer="1127" w:gutter="0"/>
          <w:cols w:space="708"/>
          <w:titlePg/>
          <w:docGrid w:linePitch="360"/>
        </w:sectPr>
      </w:pPr>
    </w:p>
    <w:p w14:paraId="393EEABF" w14:textId="253EB79F" w:rsidR="00EA622E" w:rsidRDefault="00792117" w:rsidP="00E25B19">
      <w:pPr>
        <w:pStyle w:val="1"/>
        <w:rPr>
          <w:u w:val="none"/>
          <w:lang w:val="ru-RU"/>
        </w:rPr>
      </w:pPr>
      <w:bookmarkStart w:id="0" w:name="_СОДЕРЖАНИЕ"/>
      <w:bookmarkStart w:id="1" w:name="_Toc120064248"/>
      <w:bookmarkStart w:id="2" w:name="_Toc151514627"/>
      <w:bookmarkStart w:id="3" w:name="_Toc181878936"/>
      <w:bookmarkStart w:id="4" w:name="_Toc181881102"/>
      <w:bookmarkStart w:id="5" w:name="_Toc181884598"/>
      <w:bookmarkStart w:id="6" w:name="_Toc181894090"/>
      <w:bookmarkEnd w:id="0"/>
      <w:r w:rsidRPr="009D63FE">
        <w:rPr>
          <w:u w:val="none"/>
        </w:rPr>
        <w:lastRenderedPageBreak/>
        <w:t>СОДЕРЖАНИЕ</w:t>
      </w:r>
      <w:bookmarkEnd w:id="1"/>
      <w:bookmarkEnd w:id="2"/>
      <w:bookmarkEnd w:id="3"/>
      <w:bookmarkEnd w:id="4"/>
      <w:bookmarkEnd w:id="5"/>
      <w:bookmarkEnd w:id="6"/>
    </w:p>
    <w:p w14:paraId="37DF0D1B" w14:textId="77777777" w:rsidR="00AE07B4" w:rsidRPr="00AE07B4" w:rsidRDefault="00AE07B4" w:rsidP="00AE07B4">
      <w:pPr>
        <w:pStyle w:val="7"/>
      </w:pPr>
    </w:p>
    <w:p w14:paraId="0F46A375" w14:textId="77777777" w:rsidR="00AE07B4" w:rsidRPr="00AE07B4" w:rsidRDefault="00AE07B4" w:rsidP="00AE07B4">
      <w:pPr>
        <w:spacing w:after="0" w:line="240" w:lineRule="auto"/>
        <w:jc w:val="center"/>
        <w:rPr>
          <w:rFonts w:ascii="Times New Roman" w:hAnsi="Times New Roman" w:cs="Times New Roman"/>
          <w:bCs/>
          <w:sz w:val="28"/>
          <w:u w:val="single"/>
        </w:rPr>
      </w:pPr>
      <w:r w:rsidRPr="00AE07B4">
        <w:rPr>
          <w:rFonts w:ascii="Times New Roman" w:hAnsi="Times New Roman" w:cs="Times New Roman"/>
          <w:bCs/>
          <w:sz w:val="28"/>
          <w:u w:val="single"/>
        </w:rPr>
        <w:t>ЭТНОГРАФИЯ. АНТРОПОЛОГИЯ. КРАЕВЕДЕНИЕ</w:t>
      </w:r>
    </w:p>
    <w:p w14:paraId="23F97EAC" w14:textId="77777777" w:rsidR="00AE07B4" w:rsidRPr="00AE07B4" w:rsidRDefault="00AE07B4" w:rsidP="00AE07B4">
      <w:pPr>
        <w:spacing w:after="0" w:line="240" w:lineRule="auto"/>
        <w:rPr>
          <w:rFonts w:ascii="Times New Roman" w:hAnsi="Times New Roman" w:cs="Times New Roman"/>
          <w:bCs/>
          <w:sz w:val="28"/>
        </w:rPr>
      </w:pPr>
    </w:p>
    <w:p w14:paraId="357D44AE" w14:textId="1B535723"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
          <w:bCs/>
          <w:sz w:val="28"/>
        </w:rPr>
        <w:t>Ігнацюк А.А</w:t>
      </w:r>
      <w:r w:rsidRPr="00AE07B4">
        <w:rPr>
          <w:rFonts w:ascii="Times New Roman" w:hAnsi="Times New Roman" w:cs="Times New Roman"/>
          <w:bCs/>
          <w:sz w:val="28"/>
        </w:rPr>
        <w:t xml:space="preserve">. Традыцыі і навацыі ў жаночым адзенні заходнепалескай вёскі ў 1930–1950-я гг. (на прыкладзе в. Балоты Кобрынскага раёна) </w:t>
      </w:r>
      <w:r w:rsidRPr="007F27C4">
        <w:rPr>
          <w:rFonts w:ascii="Times New Roman" w:hAnsi="Times New Roman" w:cs="Times New Roman"/>
          <w:sz w:val="28"/>
          <w:szCs w:val="28"/>
        </w:rPr>
        <w:ptab w:relativeTo="margin" w:alignment="right" w:leader="dot"/>
      </w:r>
      <w:r w:rsidRPr="00847A7F">
        <w:rPr>
          <w:rFonts w:ascii="Times New Roman" w:hAnsi="Times New Roman" w:cs="Times New Roman"/>
          <w:bCs/>
          <w:sz w:val="28"/>
          <w:szCs w:val="28"/>
        </w:rPr>
        <w:t>6</w:t>
      </w:r>
    </w:p>
    <w:p w14:paraId="21C0A9E5" w14:textId="7777777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
          <w:bCs/>
          <w:sz w:val="28"/>
        </w:rPr>
        <w:t>Юрковіч Д.Ю.</w:t>
      </w:r>
      <w:r w:rsidRPr="00AE07B4">
        <w:rPr>
          <w:rFonts w:ascii="Times New Roman" w:hAnsi="Times New Roman" w:cs="Times New Roman"/>
          <w:bCs/>
          <w:sz w:val="28"/>
        </w:rPr>
        <w:t xml:space="preserve"> Да пытання аб даследаваннях традыцыйнага і </w:t>
      </w:r>
    </w:p>
    <w:p w14:paraId="77427222" w14:textId="046ED8FB"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сучаснага ткацтва Бярозаўшчыны</w:t>
      </w:r>
      <w:r w:rsidRPr="007F27C4">
        <w:rPr>
          <w:rFonts w:ascii="Times New Roman" w:hAnsi="Times New Roman" w:cs="Times New Roman"/>
          <w:sz w:val="28"/>
          <w:szCs w:val="28"/>
        </w:rPr>
        <w:ptab w:relativeTo="margin" w:alignment="right" w:leader="dot"/>
      </w:r>
      <w:r>
        <w:rPr>
          <w:rFonts w:ascii="Times New Roman" w:hAnsi="Times New Roman" w:cs="Times New Roman"/>
          <w:bCs/>
          <w:sz w:val="28"/>
          <w:szCs w:val="28"/>
        </w:rPr>
        <w:t>11</w:t>
      </w:r>
    </w:p>
    <w:p w14:paraId="4B21682E" w14:textId="7777777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
          <w:bCs/>
          <w:sz w:val="28"/>
        </w:rPr>
        <w:t xml:space="preserve">Омелюсик А.В. </w:t>
      </w:r>
      <w:r w:rsidRPr="00AE07B4">
        <w:rPr>
          <w:rFonts w:ascii="Times New Roman" w:hAnsi="Times New Roman" w:cs="Times New Roman"/>
          <w:bCs/>
          <w:sz w:val="28"/>
        </w:rPr>
        <w:t xml:space="preserve">Традиционные занятия белорусов и закон:  Государственная инспекция охраны животного и растительного мира </w:t>
      </w:r>
    </w:p>
    <w:p w14:paraId="5BA680DB" w14:textId="139B0A16"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при Президенте Республики Беларусь в борьбе с браконьерством</w:t>
      </w:r>
      <w:r w:rsidRPr="007F27C4">
        <w:rPr>
          <w:rFonts w:ascii="Times New Roman" w:hAnsi="Times New Roman" w:cs="Times New Roman"/>
          <w:sz w:val="28"/>
          <w:szCs w:val="28"/>
        </w:rPr>
        <w:ptab w:relativeTo="margin" w:alignment="right" w:leader="dot"/>
      </w:r>
      <w:r>
        <w:rPr>
          <w:rFonts w:ascii="Times New Roman" w:hAnsi="Times New Roman" w:cs="Times New Roman"/>
          <w:sz w:val="28"/>
          <w:szCs w:val="28"/>
        </w:rPr>
        <w:t>1</w:t>
      </w:r>
      <w:r w:rsidRPr="00847A7F">
        <w:rPr>
          <w:rFonts w:ascii="Times New Roman" w:hAnsi="Times New Roman" w:cs="Times New Roman"/>
          <w:bCs/>
          <w:sz w:val="28"/>
          <w:szCs w:val="28"/>
        </w:rPr>
        <w:t>6</w:t>
      </w:r>
    </w:p>
    <w:p w14:paraId="1DAA2ABA" w14:textId="7777777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
          <w:bCs/>
          <w:sz w:val="28"/>
        </w:rPr>
        <w:t>Гавриленко К.Е.</w:t>
      </w:r>
      <w:r w:rsidRPr="00AE07B4">
        <w:rPr>
          <w:rFonts w:ascii="Times New Roman" w:hAnsi="Times New Roman" w:cs="Times New Roman"/>
          <w:bCs/>
          <w:sz w:val="28"/>
        </w:rPr>
        <w:t xml:space="preserve"> Материалы польских лютеранских периодических изданий 80-х гг. XIX – 30-х гг. ХХ в. как источники</w:t>
      </w:r>
    </w:p>
    <w:p w14:paraId="2435DAE4" w14:textId="6FA14D92"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по истории бужских голендров</w:t>
      </w:r>
      <w:r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21</w:t>
      </w:r>
    </w:p>
    <w:p w14:paraId="411B34F2"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Конончук Е.Л.</w:t>
      </w:r>
      <w:r w:rsidRPr="00AE07B4">
        <w:rPr>
          <w:rFonts w:ascii="Times New Roman" w:hAnsi="Times New Roman" w:cs="Times New Roman"/>
          <w:bCs/>
          <w:sz w:val="28"/>
        </w:rPr>
        <w:t xml:space="preserve"> Формирование усадебно-паркового комплекса</w:t>
      </w:r>
    </w:p>
    <w:p w14:paraId="4BCAF2C4" w14:textId="59C30FDD"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рода Урсын Немцевичей в исторической ретроспективе</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28</w:t>
      </w:r>
    </w:p>
    <w:p w14:paraId="43D034A6" w14:textId="71E78415"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Панасюк Д.С. </w:t>
      </w:r>
      <w:r w:rsidRPr="00AE07B4">
        <w:rPr>
          <w:rFonts w:ascii="Times New Roman" w:hAnsi="Times New Roman" w:cs="Times New Roman"/>
          <w:bCs/>
          <w:sz w:val="28"/>
        </w:rPr>
        <w:t>Чернавчицы – забытая резиденция Радзивиллов</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33</w:t>
      </w:r>
    </w:p>
    <w:p w14:paraId="2580B047"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Яковинич А.С.</w:t>
      </w:r>
      <w:r w:rsidRPr="00AE07B4">
        <w:rPr>
          <w:rFonts w:ascii="Times New Roman" w:hAnsi="Times New Roman" w:cs="Times New Roman"/>
          <w:bCs/>
          <w:sz w:val="28"/>
        </w:rPr>
        <w:t xml:space="preserve"> Деревня Верховичи и окрестности </w:t>
      </w:r>
    </w:p>
    <w:p w14:paraId="54F763D1" w14:textId="7E71D264"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в исторических исследованиях: обзор литературы</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44</w:t>
      </w:r>
    </w:p>
    <w:p w14:paraId="31BD2277"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Піліпёнак Н.С. </w:t>
      </w:r>
      <w:r w:rsidRPr="00AE07B4">
        <w:rPr>
          <w:rFonts w:ascii="Times New Roman" w:hAnsi="Times New Roman" w:cs="Times New Roman"/>
          <w:bCs/>
          <w:sz w:val="28"/>
        </w:rPr>
        <w:t xml:space="preserve">Бальнічныя білеты як крыніца па гісторыі </w:t>
      </w:r>
    </w:p>
    <w:p w14:paraId="3FE00B65" w14:textId="60AAAF65"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прастытуцыі ў Брэсце ў пачатку ХХ ст.</w:t>
      </w:r>
      <w:r w:rsidR="00E54736" w:rsidRPr="00E54736">
        <w:rPr>
          <w:rFonts w:ascii="Times New Roman" w:hAnsi="Times New Roman" w:cs="Times New Roman"/>
          <w:sz w:val="28"/>
          <w:szCs w:val="28"/>
        </w:rPr>
        <w:t xml:space="preserve"> </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5</w:t>
      </w:r>
      <w:r w:rsidR="008025FB">
        <w:rPr>
          <w:rFonts w:ascii="Times New Roman" w:hAnsi="Times New Roman" w:cs="Times New Roman"/>
          <w:bCs/>
          <w:sz w:val="28"/>
        </w:rPr>
        <w:t>1</w:t>
      </w:r>
    </w:p>
    <w:p w14:paraId="1121E534"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Жуковский К.В. </w:t>
      </w:r>
      <w:r w:rsidRPr="00AE07B4">
        <w:rPr>
          <w:rFonts w:ascii="Times New Roman" w:hAnsi="Times New Roman" w:cs="Times New Roman"/>
          <w:bCs/>
          <w:sz w:val="28"/>
        </w:rPr>
        <w:t xml:space="preserve">Выборы в местные советы депутатов трудящихся </w:t>
      </w:r>
    </w:p>
    <w:p w14:paraId="5C62C89E" w14:textId="175A158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на Лидчине в 1940 г.</w:t>
      </w:r>
      <w:r w:rsidR="00E54736" w:rsidRPr="00E54736">
        <w:rPr>
          <w:rFonts w:ascii="Times New Roman" w:hAnsi="Times New Roman" w:cs="Times New Roman"/>
          <w:sz w:val="28"/>
          <w:szCs w:val="28"/>
        </w:rPr>
        <w:t xml:space="preserve"> </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5</w:t>
      </w:r>
      <w:r w:rsidR="008025FB">
        <w:rPr>
          <w:rFonts w:ascii="Times New Roman" w:hAnsi="Times New Roman" w:cs="Times New Roman"/>
          <w:bCs/>
          <w:sz w:val="28"/>
        </w:rPr>
        <w:t>6</w:t>
      </w:r>
    </w:p>
    <w:p w14:paraId="54B72F3D" w14:textId="32BBE3F6"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Гаўрылюк П.А.</w:t>
      </w:r>
      <w:r w:rsidRPr="00AE07B4">
        <w:rPr>
          <w:rFonts w:ascii="Times New Roman" w:hAnsi="Times New Roman" w:cs="Times New Roman"/>
          <w:bCs/>
          <w:sz w:val="28"/>
        </w:rPr>
        <w:t xml:space="preserve"> Нацыянальныя камітэты самадапамогі ў сістэме акупацыйнага рэжыму горада Брэста ў 1941–1944 гг.</w:t>
      </w:r>
      <w:r w:rsidRPr="00AE07B4">
        <w:rPr>
          <w:rFonts w:ascii="Times New Roman" w:hAnsi="Times New Roman" w:cs="Times New Roman"/>
          <w:bCs/>
          <w:sz w:val="28"/>
        </w:rPr>
        <w:tab/>
      </w:r>
      <w:r w:rsidR="00E54736" w:rsidRPr="007F27C4">
        <w:rPr>
          <w:rFonts w:ascii="Times New Roman" w:hAnsi="Times New Roman" w:cs="Times New Roman"/>
          <w:sz w:val="28"/>
          <w:szCs w:val="28"/>
        </w:rPr>
        <w:ptab w:relativeTo="margin" w:alignment="right" w:leader="dot"/>
      </w:r>
      <w:r w:rsidR="008025FB">
        <w:rPr>
          <w:rFonts w:ascii="Times New Roman" w:hAnsi="Times New Roman" w:cs="Times New Roman"/>
          <w:bCs/>
          <w:sz w:val="28"/>
        </w:rPr>
        <w:t>59</w:t>
      </w:r>
    </w:p>
    <w:p w14:paraId="129C08D6"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Сунцова М.Д.</w:t>
      </w:r>
      <w:r w:rsidRPr="00AE07B4">
        <w:rPr>
          <w:rFonts w:ascii="Times New Roman" w:hAnsi="Times New Roman" w:cs="Times New Roman"/>
          <w:bCs/>
          <w:sz w:val="28"/>
        </w:rPr>
        <w:t xml:space="preserve"> Стих, рожденный войной </w:t>
      </w:r>
    </w:p>
    <w:p w14:paraId="070BACC6" w14:textId="758FB19E"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(по страницам семейного архива)</w:t>
      </w:r>
      <w:r w:rsidR="00E54736" w:rsidRPr="00E54736">
        <w:rPr>
          <w:rFonts w:ascii="Times New Roman" w:hAnsi="Times New Roman" w:cs="Times New Roman"/>
          <w:sz w:val="28"/>
          <w:szCs w:val="28"/>
        </w:rPr>
        <w:t xml:space="preserve"> </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64</w:t>
      </w:r>
    </w:p>
    <w:p w14:paraId="65EFCFCA" w14:textId="77777777" w:rsidR="00AE07B4" w:rsidRPr="00AE07B4" w:rsidRDefault="00AE07B4" w:rsidP="00AE07B4">
      <w:pPr>
        <w:spacing w:after="0" w:line="240" w:lineRule="auto"/>
        <w:rPr>
          <w:rFonts w:ascii="Times New Roman" w:hAnsi="Times New Roman" w:cs="Times New Roman"/>
          <w:bCs/>
          <w:sz w:val="28"/>
        </w:rPr>
      </w:pPr>
    </w:p>
    <w:p w14:paraId="3C036A80" w14:textId="77777777" w:rsidR="00AE07B4" w:rsidRPr="00E54736" w:rsidRDefault="00AE07B4" w:rsidP="00E54736">
      <w:pPr>
        <w:spacing w:after="0" w:line="240" w:lineRule="auto"/>
        <w:jc w:val="center"/>
        <w:rPr>
          <w:rFonts w:ascii="Times New Roman" w:hAnsi="Times New Roman" w:cs="Times New Roman"/>
          <w:bCs/>
          <w:sz w:val="28"/>
          <w:u w:val="single"/>
        </w:rPr>
      </w:pPr>
      <w:r w:rsidRPr="00E54736">
        <w:rPr>
          <w:rFonts w:ascii="Times New Roman" w:hAnsi="Times New Roman" w:cs="Times New Roman"/>
          <w:bCs/>
          <w:sz w:val="28"/>
          <w:u w:val="single"/>
        </w:rPr>
        <w:t>ИСТОРИЯ БЕЛАРУСИ. РЕГИОНАЛЬНАЯ ИСТОРИЯ</w:t>
      </w:r>
    </w:p>
    <w:p w14:paraId="6A197C7A" w14:textId="77777777" w:rsidR="00AE07B4" w:rsidRPr="00AE07B4" w:rsidRDefault="00AE07B4" w:rsidP="00AE07B4">
      <w:pPr>
        <w:spacing w:after="0" w:line="240" w:lineRule="auto"/>
        <w:rPr>
          <w:rFonts w:ascii="Times New Roman" w:hAnsi="Times New Roman" w:cs="Times New Roman"/>
          <w:bCs/>
          <w:sz w:val="28"/>
        </w:rPr>
      </w:pPr>
    </w:p>
    <w:p w14:paraId="6EC93533"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Мокиевец А.С.</w:t>
      </w:r>
      <w:r w:rsidRPr="00AE07B4">
        <w:rPr>
          <w:rFonts w:ascii="Times New Roman" w:hAnsi="Times New Roman" w:cs="Times New Roman"/>
          <w:bCs/>
          <w:sz w:val="28"/>
        </w:rPr>
        <w:t xml:space="preserve"> Крымский период жизни Казимира Скирмунта </w:t>
      </w:r>
    </w:p>
    <w:p w14:paraId="380AE069" w14:textId="45C6A04C"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(1824–1893)</w:t>
      </w:r>
      <w:r w:rsidR="00E54736" w:rsidRPr="00E54736">
        <w:rPr>
          <w:rFonts w:ascii="Times New Roman" w:hAnsi="Times New Roman" w:cs="Times New Roman"/>
          <w:sz w:val="28"/>
          <w:szCs w:val="28"/>
        </w:rPr>
        <w:t xml:space="preserve"> </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6</w:t>
      </w:r>
      <w:r w:rsidR="008025FB">
        <w:rPr>
          <w:rFonts w:ascii="Times New Roman" w:hAnsi="Times New Roman" w:cs="Times New Roman"/>
          <w:bCs/>
          <w:sz w:val="28"/>
        </w:rPr>
        <w:t>8</w:t>
      </w:r>
    </w:p>
    <w:p w14:paraId="144FF1CA" w14:textId="59B48EF2"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Корунец Д.А.</w:t>
      </w:r>
      <w:r w:rsidRPr="00AE07B4">
        <w:rPr>
          <w:rFonts w:ascii="Times New Roman" w:hAnsi="Times New Roman" w:cs="Times New Roman"/>
          <w:bCs/>
          <w:sz w:val="28"/>
        </w:rPr>
        <w:t xml:space="preserve"> Организационная структура КПЗБ в 1923–1938 гг. </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7</w:t>
      </w:r>
      <w:r w:rsidR="008025FB">
        <w:rPr>
          <w:rFonts w:ascii="Times New Roman" w:hAnsi="Times New Roman" w:cs="Times New Roman"/>
          <w:bCs/>
          <w:sz w:val="28"/>
        </w:rPr>
        <w:t>2</w:t>
      </w:r>
    </w:p>
    <w:p w14:paraId="59FB9D76"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Бобрынева И.А.</w:t>
      </w:r>
      <w:r w:rsidRPr="00AE07B4">
        <w:rPr>
          <w:rFonts w:ascii="Times New Roman" w:hAnsi="Times New Roman" w:cs="Times New Roman"/>
          <w:bCs/>
          <w:sz w:val="28"/>
        </w:rPr>
        <w:t xml:space="preserve"> Социально-культурное развитие </w:t>
      </w:r>
    </w:p>
    <w:p w14:paraId="24D491DC" w14:textId="7844129B"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Ганцевичского района в 1939–1941 гг</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7</w:t>
      </w:r>
      <w:r w:rsidR="008025FB">
        <w:rPr>
          <w:rFonts w:ascii="Times New Roman" w:hAnsi="Times New Roman" w:cs="Times New Roman"/>
          <w:bCs/>
          <w:sz w:val="28"/>
        </w:rPr>
        <w:t>7</w:t>
      </w:r>
    </w:p>
    <w:p w14:paraId="09EC5E2C"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Брилева Т.И.</w:t>
      </w:r>
      <w:r w:rsidRPr="00AE07B4">
        <w:rPr>
          <w:rFonts w:ascii="Times New Roman" w:hAnsi="Times New Roman" w:cs="Times New Roman"/>
          <w:bCs/>
          <w:sz w:val="28"/>
        </w:rPr>
        <w:t xml:space="preserve"> Деятельность польского подполья </w:t>
      </w:r>
    </w:p>
    <w:p w14:paraId="4BE568C5" w14:textId="7777777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 xml:space="preserve">в период переселения белорусского населения </w:t>
      </w:r>
    </w:p>
    <w:p w14:paraId="3AF11C8B" w14:textId="41BA8CD3"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из Польши в Белорусскую ССР (1944–1946 гг.)</w:t>
      </w:r>
      <w:r w:rsidRPr="00AE07B4">
        <w:rPr>
          <w:rFonts w:ascii="Times New Roman" w:hAnsi="Times New Roman" w:cs="Times New Roman"/>
          <w:bCs/>
          <w:sz w:val="28"/>
        </w:rPr>
        <w:tab/>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8</w:t>
      </w:r>
      <w:r w:rsidR="008025FB">
        <w:rPr>
          <w:rFonts w:ascii="Times New Roman" w:hAnsi="Times New Roman" w:cs="Times New Roman"/>
          <w:bCs/>
          <w:sz w:val="28"/>
        </w:rPr>
        <w:t>2</w:t>
      </w:r>
    </w:p>
    <w:p w14:paraId="4EE0C534" w14:textId="5EBFC25D"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Сарапин А.А.</w:t>
      </w:r>
      <w:r w:rsidRPr="00AE07B4">
        <w:rPr>
          <w:rFonts w:ascii="Times New Roman" w:hAnsi="Times New Roman" w:cs="Times New Roman"/>
          <w:bCs/>
          <w:sz w:val="28"/>
        </w:rPr>
        <w:t xml:space="preserve"> Евреи-«восточники» – феномен дважды изгоев</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8</w:t>
      </w:r>
      <w:r w:rsidR="008025FB">
        <w:rPr>
          <w:rFonts w:ascii="Times New Roman" w:hAnsi="Times New Roman" w:cs="Times New Roman"/>
          <w:bCs/>
          <w:sz w:val="28"/>
        </w:rPr>
        <w:t>7</w:t>
      </w:r>
    </w:p>
    <w:p w14:paraId="1FFA4B63" w14:textId="253F631D"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Горобец А.В.</w:t>
      </w:r>
      <w:r w:rsidRPr="00AE07B4">
        <w:rPr>
          <w:rFonts w:ascii="Times New Roman" w:hAnsi="Times New Roman" w:cs="Times New Roman"/>
          <w:bCs/>
          <w:sz w:val="28"/>
        </w:rPr>
        <w:t xml:space="preserve"> Белорусский кинематограф: вехи истории</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9</w:t>
      </w:r>
      <w:r w:rsidR="008025FB">
        <w:rPr>
          <w:rFonts w:ascii="Times New Roman" w:hAnsi="Times New Roman" w:cs="Times New Roman"/>
          <w:bCs/>
          <w:sz w:val="28"/>
        </w:rPr>
        <w:t>2</w:t>
      </w:r>
    </w:p>
    <w:p w14:paraId="602AD33B" w14:textId="63BF2F46"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lastRenderedPageBreak/>
        <w:t xml:space="preserve">Приступа Т.С. </w:t>
      </w:r>
      <w:r w:rsidRPr="00AE07B4">
        <w:rPr>
          <w:rFonts w:ascii="Times New Roman" w:hAnsi="Times New Roman" w:cs="Times New Roman"/>
          <w:bCs/>
          <w:sz w:val="28"/>
        </w:rPr>
        <w:t xml:space="preserve">Учебное пособие «История Беларуси в контексте всемирной истории» для учащихся Х класса: </w:t>
      </w:r>
      <w:r w:rsidR="00E54736">
        <w:rPr>
          <w:rFonts w:ascii="Times New Roman" w:hAnsi="Times New Roman" w:cs="Times New Roman"/>
          <w:bCs/>
          <w:sz w:val="28"/>
        </w:rPr>
        <w:br/>
      </w:r>
      <w:r w:rsidRPr="00AE07B4">
        <w:rPr>
          <w:rFonts w:ascii="Times New Roman" w:hAnsi="Times New Roman" w:cs="Times New Roman"/>
          <w:bCs/>
          <w:sz w:val="28"/>
        </w:rPr>
        <w:t>взгляд участника апробации</w:t>
      </w:r>
      <w:r w:rsidR="00E54736"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9</w:t>
      </w:r>
      <w:r w:rsidR="008025FB">
        <w:rPr>
          <w:rFonts w:ascii="Times New Roman" w:hAnsi="Times New Roman" w:cs="Times New Roman"/>
          <w:bCs/>
          <w:sz w:val="28"/>
        </w:rPr>
        <w:t>6</w:t>
      </w:r>
    </w:p>
    <w:p w14:paraId="65F65619" w14:textId="77777777" w:rsidR="00AE07B4" w:rsidRPr="00AE07B4" w:rsidRDefault="00AE07B4" w:rsidP="00AE07B4">
      <w:pPr>
        <w:spacing w:after="0" w:line="240" w:lineRule="auto"/>
        <w:rPr>
          <w:rFonts w:ascii="Times New Roman" w:hAnsi="Times New Roman" w:cs="Times New Roman"/>
          <w:bCs/>
          <w:sz w:val="28"/>
        </w:rPr>
      </w:pPr>
    </w:p>
    <w:p w14:paraId="3651EADA" w14:textId="77777777" w:rsidR="00AE07B4" w:rsidRPr="00E54736" w:rsidRDefault="00AE07B4" w:rsidP="00E54736">
      <w:pPr>
        <w:spacing w:after="0" w:line="240" w:lineRule="auto"/>
        <w:jc w:val="center"/>
        <w:rPr>
          <w:rFonts w:ascii="Times New Roman" w:hAnsi="Times New Roman" w:cs="Times New Roman"/>
          <w:bCs/>
          <w:sz w:val="28"/>
          <w:u w:val="single"/>
        </w:rPr>
      </w:pPr>
      <w:r w:rsidRPr="00E54736">
        <w:rPr>
          <w:rFonts w:ascii="Times New Roman" w:hAnsi="Times New Roman" w:cs="Times New Roman"/>
          <w:bCs/>
          <w:sz w:val="28"/>
          <w:u w:val="single"/>
        </w:rPr>
        <w:t>ВСЕМИРНАЯ ИСТОРИЯ. КУЛЬТУРА. ПОЛИТИКА</w:t>
      </w:r>
    </w:p>
    <w:p w14:paraId="7FAB8B01" w14:textId="77777777" w:rsidR="00AE07B4" w:rsidRPr="00AE07B4" w:rsidRDefault="00AE07B4" w:rsidP="00AE07B4">
      <w:pPr>
        <w:spacing w:after="0" w:line="240" w:lineRule="auto"/>
        <w:rPr>
          <w:rFonts w:ascii="Times New Roman" w:hAnsi="Times New Roman" w:cs="Times New Roman"/>
          <w:bCs/>
          <w:sz w:val="28"/>
        </w:rPr>
      </w:pPr>
    </w:p>
    <w:p w14:paraId="73008F16" w14:textId="717E6868"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Михаленя Р.В.</w:t>
      </w:r>
      <w:r w:rsidRPr="00AE07B4">
        <w:rPr>
          <w:rFonts w:ascii="Times New Roman" w:hAnsi="Times New Roman" w:cs="Times New Roman"/>
          <w:bCs/>
          <w:sz w:val="28"/>
        </w:rPr>
        <w:t xml:space="preserve"> Формирование самостоятельных провинциальных образований Римской империи: причины, проявления</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10</w:t>
      </w:r>
      <w:r w:rsidR="008025FB">
        <w:rPr>
          <w:rFonts w:ascii="Times New Roman" w:hAnsi="Times New Roman" w:cs="Times New Roman"/>
          <w:bCs/>
          <w:sz w:val="28"/>
        </w:rPr>
        <w:t>1</w:t>
      </w:r>
    </w:p>
    <w:p w14:paraId="777E2438"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Розмысл Е.В.</w:t>
      </w:r>
      <w:r w:rsidRPr="00AE07B4">
        <w:rPr>
          <w:rFonts w:ascii="Times New Roman" w:hAnsi="Times New Roman" w:cs="Times New Roman"/>
          <w:bCs/>
          <w:sz w:val="28"/>
        </w:rPr>
        <w:t xml:space="preserve"> Каперство и его значение на первом этапе </w:t>
      </w:r>
    </w:p>
    <w:p w14:paraId="3D406178" w14:textId="3A0ADAAC"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Столетней войны (1337–1360 гг.)</w:t>
      </w:r>
      <w:r w:rsidR="0061721D" w:rsidRPr="0061721D">
        <w:rPr>
          <w:rFonts w:ascii="Times New Roman" w:hAnsi="Times New Roman" w:cs="Times New Roman"/>
          <w:sz w:val="28"/>
          <w:szCs w:val="28"/>
        </w:rPr>
        <w:t xml:space="preserve"> </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10</w:t>
      </w:r>
      <w:r w:rsidR="008025FB">
        <w:rPr>
          <w:rFonts w:ascii="Times New Roman" w:hAnsi="Times New Roman" w:cs="Times New Roman"/>
          <w:bCs/>
          <w:sz w:val="28"/>
        </w:rPr>
        <w:t>7</w:t>
      </w:r>
    </w:p>
    <w:p w14:paraId="69E80C70"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Антонович М.С.</w:t>
      </w:r>
      <w:r w:rsidRPr="00AE07B4">
        <w:rPr>
          <w:rFonts w:ascii="Times New Roman" w:hAnsi="Times New Roman" w:cs="Times New Roman"/>
          <w:bCs/>
          <w:sz w:val="28"/>
        </w:rPr>
        <w:t xml:space="preserve"> Описания быта, традиций и нравов </w:t>
      </w:r>
    </w:p>
    <w:p w14:paraId="06320859" w14:textId="70472116"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Древней Руси и Литвы в средневековых арабских источниках</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11</w:t>
      </w:r>
      <w:r w:rsidR="008025FB">
        <w:rPr>
          <w:rFonts w:ascii="Times New Roman" w:hAnsi="Times New Roman" w:cs="Times New Roman"/>
          <w:bCs/>
          <w:sz w:val="28"/>
        </w:rPr>
        <w:t>2</w:t>
      </w:r>
    </w:p>
    <w:p w14:paraId="4876E1C6"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Будько Н.В. </w:t>
      </w:r>
      <w:r w:rsidRPr="00AE07B4">
        <w:rPr>
          <w:rFonts w:ascii="Times New Roman" w:hAnsi="Times New Roman" w:cs="Times New Roman"/>
          <w:bCs/>
          <w:sz w:val="28"/>
        </w:rPr>
        <w:t xml:space="preserve">Массовая культура Японии в 1930-х – </w:t>
      </w:r>
    </w:p>
    <w:p w14:paraId="13C03F8D" w14:textId="77777777"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 xml:space="preserve">первой половине 1940-х годов как средство </w:t>
      </w:r>
    </w:p>
    <w:p w14:paraId="5152B6CC" w14:textId="25E8300E"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 xml:space="preserve">шовинистской и военной пропаганды </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11</w:t>
      </w:r>
      <w:r w:rsidR="008025FB">
        <w:rPr>
          <w:rFonts w:ascii="Times New Roman" w:hAnsi="Times New Roman" w:cs="Times New Roman"/>
          <w:bCs/>
          <w:sz w:val="28"/>
        </w:rPr>
        <w:t>7</w:t>
      </w:r>
    </w:p>
    <w:p w14:paraId="6D3BA140" w14:textId="209F30F4"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Галенкин Р.М.</w:t>
      </w:r>
      <w:r w:rsidRPr="00AE07B4">
        <w:rPr>
          <w:rFonts w:ascii="Times New Roman" w:hAnsi="Times New Roman" w:cs="Times New Roman"/>
          <w:bCs/>
          <w:sz w:val="28"/>
        </w:rPr>
        <w:t xml:space="preserve"> Мао Цзэдун в переводах на белорусский язык</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12</w:t>
      </w:r>
      <w:r w:rsidR="008025FB">
        <w:rPr>
          <w:rFonts w:ascii="Times New Roman" w:hAnsi="Times New Roman" w:cs="Times New Roman"/>
          <w:bCs/>
          <w:sz w:val="28"/>
        </w:rPr>
        <w:t>2</w:t>
      </w:r>
    </w:p>
    <w:p w14:paraId="23A5F8BB"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Федоров Э.А. </w:t>
      </w:r>
      <w:r w:rsidRPr="00AE07B4">
        <w:rPr>
          <w:rFonts w:ascii="Times New Roman" w:hAnsi="Times New Roman" w:cs="Times New Roman"/>
          <w:bCs/>
          <w:sz w:val="28"/>
        </w:rPr>
        <w:t xml:space="preserve">Коммеморация Второй Мировой войны </w:t>
      </w:r>
    </w:p>
    <w:p w14:paraId="3143E7BD" w14:textId="40396C09"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в послевоенном западноевропейском киноискусстве</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12</w:t>
      </w:r>
      <w:r w:rsidR="008025FB">
        <w:rPr>
          <w:rFonts w:ascii="Times New Roman" w:hAnsi="Times New Roman" w:cs="Times New Roman"/>
          <w:bCs/>
          <w:sz w:val="28"/>
        </w:rPr>
        <w:t>6</w:t>
      </w:r>
    </w:p>
    <w:p w14:paraId="151E1448"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Хутко Р.С.</w:t>
      </w:r>
      <w:r w:rsidRPr="00AE07B4">
        <w:rPr>
          <w:rFonts w:ascii="Times New Roman" w:hAnsi="Times New Roman" w:cs="Times New Roman"/>
          <w:bCs/>
          <w:sz w:val="28"/>
        </w:rPr>
        <w:t xml:space="preserve"> Политическое и социально-экономическое положение </w:t>
      </w:r>
    </w:p>
    <w:p w14:paraId="3DFCC0BC" w14:textId="7007DD91"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в Чеченской Республике в 1997–1999  гг.</w:t>
      </w:r>
      <w:r w:rsidR="0061721D" w:rsidRPr="0061721D">
        <w:rPr>
          <w:rFonts w:ascii="Times New Roman" w:hAnsi="Times New Roman" w:cs="Times New Roman"/>
          <w:sz w:val="28"/>
          <w:szCs w:val="28"/>
        </w:rPr>
        <w:t xml:space="preserve"> </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13</w:t>
      </w:r>
      <w:r w:rsidR="008025FB">
        <w:rPr>
          <w:rFonts w:ascii="Times New Roman" w:hAnsi="Times New Roman" w:cs="Times New Roman"/>
          <w:bCs/>
          <w:sz w:val="28"/>
        </w:rPr>
        <w:t>1</w:t>
      </w:r>
    </w:p>
    <w:p w14:paraId="247AB714" w14:textId="4350BC6B"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Шакунова С.А.</w:t>
      </w:r>
      <w:r w:rsidRPr="00AE07B4">
        <w:rPr>
          <w:rFonts w:ascii="Times New Roman" w:hAnsi="Times New Roman" w:cs="Times New Roman"/>
          <w:bCs/>
          <w:sz w:val="28"/>
        </w:rPr>
        <w:t xml:space="preserve"> Психология человека на войне: опыт исследования психотипов и поведенческого аспекта военнослужащих </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13</w:t>
      </w:r>
      <w:r w:rsidR="008025FB">
        <w:rPr>
          <w:rFonts w:ascii="Times New Roman" w:hAnsi="Times New Roman" w:cs="Times New Roman"/>
          <w:bCs/>
          <w:sz w:val="28"/>
        </w:rPr>
        <w:t>5</w:t>
      </w:r>
    </w:p>
    <w:p w14:paraId="12CE3862" w14:textId="77777777"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 xml:space="preserve">Кузьмич А.В. </w:t>
      </w:r>
      <w:r w:rsidRPr="00AE07B4">
        <w:rPr>
          <w:rFonts w:ascii="Times New Roman" w:hAnsi="Times New Roman" w:cs="Times New Roman"/>
          <w:bCs/>
          <w:sz w:val="28"/>
        </w:rPr>
        <w:t xml:space="preserve">Применение методов психоистории </w:t>
      </w:r>
    </w:p>
    <w:p w14:paraId="0C55D156" w14:textId="7989B4F5" w:rsidR="00AE07B4" w:rsidRPr="00AE07B4" w:rsidRDefault="00AE07B4" w:rsidP="00AE07B4">
      <w:pPr>
        <w:spacing w:after="0" w:line="240" w:lineRule="auto"/>
        <w:rPr>
          <w:rFonts w:ascii="Times New Roman" w:hAnsi="Times New Roman" w:cs="Times New Roman"/>
          <w:bCs/>
          <w:sz w:val="28"/>
        </w:rPr>
      </w:pPr>
      <w:r w:rsidRPr="00AE07B4">
        <w:rPr>
          <w:rFonts w:ascii="Times New Roman" w:hAnsi="Times New Roman" w:cs="Times New Roman"/>
          <w:bCs/>
          <w:sz w:val="28"/>
        </w:rPr>
        <w:t>в целях изучения материальной культуры</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14</w:t>
      </w:r>
      <w:r w:rsidR="008025FB">
        <w:rPr>
          <w:rFonts w:ascii="Times New Roman" w:hAnsi="Times New Roman" w:cs="Times New Roman"/>
          <w:bCs/>
          <w:sz w:val="28"/>
        </w:rPr>
        <w:t>2</w:t>
      </w:r>
    </w:p>
    <w:p w14:paraId="534C7987" w14:textId="3CA77C29" w:rsidR="00AE07B4" w:rsidRPr="00AE07B4" w:rsidRDefault="00AE07B4" w:rsidP="00AE07B4">
      <w:pPr>
        <w:spacing w:after="0" w:line="240" w:lineRule="auto"/>
        <w:rPr>
          <w:rFonts w:ascii="Times New Roman" w:hAnsi="Times New Roman" w:cs="Times New Roman"/>
          <w:bCs/>
          <w:sz w:val="28"/>
        </w:rPr>
      </w:pPr>
      <w:r w:rsidRPr="00E54736">
        <w:rPr>
          <w:rFonts w:ascii="Times New Roman" w:hAnsi="Times New Roman" w:cs="Times New Roman"/>
          <w:b/>
          <w:bCs/>
          <w:sz w:val="28"/>
        </w:rPr>
        <w:t>Куликович Д.А., Чернова И.С.</w:t>
      </w:r>
      <w:r w:rsidRPr="00AE07B4">
        <w:rPr>
          <w:rFonts w:ascii="Times New Roman" w:hAnsi="Times New Roman" w:cs="Times New Roman"/>
          <w:bCs/>
          <w:sz w:val="28"/>
        </w:rPr>
        <w:t xml:space="preserve"> Концепция всеохватывающих партий (Сatch-Аll Рarties) Отто Кирххаймера</w:t>
      </w:r>
      <w:r w:rsidR="0061721D" w:rsidRPr="007F27C4">
        <w:rPr>
          <w:rFonts w:ascii="Times New Roman" w:hAnsi="Times New Roman" w:cs="Times New Roman"/>
          <w:sz w:val="28"/>
          <w:szCs w:val="28"/>
        </w:rPr>
        <w:ptab w:relativeTo="margin" w:alignment="right" w:leader="dot"/>
      </w:r>
      <w:r w:rsidRPr="00AE07B4">
        <w:rPr>
          <w:rFonts w:ascii="Times New Roman" w:hAnsi="Times New Roman" w:cs="Times New Roman"/>
          <w:bCs/>
          <w:sz w:val="28"/>
        </w:rPr>
        <w:t>14</w:t>
      </w:r>
      <w:r w:rsidR="008025FB">
        <w:rPr>
          <w:rFonts w:ascii="Times New Roman" w:hAnsi="Times New Roman" w:cs="Times New Roman"/>
          <w:bCs/>
          <w:sz w:val="28"/>
        </w:rPr>
        <w:t>7</w:t>
      </w:r>
    </w:p>
    <w:p w14:paraId="3B2A87CD" w14:textId="77777777" w:rsidR="00166040" w:rsidRDefault="00166040" w:rsidP="00E25B19">
      <w:pPr>
        <w:spacing w:after="0" w:line="240" w:lineRule="auto"/>
        <w:rPr>
          <w:rFonts w:ascii="Times New Roman" w:hAnsi="Times New Roman" w:cs="Times New Roman"/>
          <w:bCs/>
          <w:sz w:val="28"/>
        </w:rPr>
      </w:pPr>
    </w:p>
    <w:p w14:paraId="1F5F915C" w14:textId="0B94652A" w:rsidR="009F7626" w:rsidRDefault="009F7626" w:rsidP="009F7626"/>
    <w:p w14:paraId="5B47CD0E" w14:textId="77777777" w:rsidR="00237BAE" w:rsidRDefault="00237BAE" w:rsidP="00AA53C5">
      <w:pPr>
        <w:spacing w:line="240" w:lineRule="auto"/>
        <w:jc w:val="center"/>
      </w:pPr>
    </w:p>
    <w:p w14:paraId="4C6C5F06" w14:textId="02D1B4D5" w:rsidR="007B6F10" w:rsidRPr="0051007D" w:rsidRDefault="007B6F10" w:rsidP="00E25B19">
      <w:pPr>
        <w:spacing w:after="0" w:line="240" w:lineRule="auto"/>
        <w:rPr>
          <w:rFonts w:ascii="Times New Roman" w:hAnsi="Times New Roman" w:cs="Times New Roman"/>
          <w:bCs/>
          <w:i/>
          <w:sz w:val="28"/>
          <w:lang w:val="be-BY"/>
        </w:rPr>
      </w:pPr>
      <w:r w:rsidRPr="0051007D">
        <w:rPr>
          <w:rFonts w:ascii="Times New Roman" w:hAnsi="Times New Roman" w:cs="Times New Roman"/>
          <w:bCs/>
          <w:i/>
          <w:sz w:val="28"/>
          <w:lang w:val="be-BY"/>
        </w:rPr>
        <w:br w:type="page"/>
      </w:r>
    </w:p>
    <w:p w14:paraId="3369B7BD" w14:textId="208B2340" w:rsidR="00CF78D3" w:rsidRPr="009F690E" w:rsidRDefault="00CF78D3" w:rsidP="00BC2E92">
      <w:pPr>
        <w:pStyle w:val="1"/>
        <w:rPr>
          <w:lang w:val="ru-RU"/>
        </w:rPr>
      </w:pPr>
      <w:bookmarkStart w:id="7" w:name="_АРХЕОЛОГИЯ,_ЭТНОГРАФИЯ,_АНТРОПОЛОГИ"/>
      <w:bookmarkStart w:id="8" w:name="_ЭТНОГРАФИЯ._АНТРОПОЛОГИЯ._КРАЕВЕДЕН"/>
      <w:bookmarkStart w:id="9" w:name="_Toc119960068"/>
      <w:bookmarkStart w:id="10" w:name="_Toc120064249"/>
      <w:bookmarkStart w:id="11" w:name="_Toc151514628"/>
      <w:bookmarkStart w:id="12" w:name="_Toc181878937"/>
      <w:bookmarkStart w:id="13" w:name="_Toc181881103"/>
      <w:bookmarkStart w:id="14" w:name="_Toc181884599"/>
      <w:bookmarkStart w:id="15" w:name="_Toc181894091"/>
      <w:bookmarkEnd w:id="7"/>
      <w:bookmarkEnd w:id="8"/>
      <w:r w:rsidRPr="00792117">
        <w:lastRenderedPageBreak/>
        <w:t>ЭТНОГРАФИЯ</w:t>
      </w:r>
      <w:r w:rsidR="005412EE">
        <w:rPr>
          <w:lang w:val="ru-RU"/>
        </w:rPr>
        <w:t>.</w:t>
      </w:r>
      <w:r w:rsidRPr="00792117">
        <w:t xml:space="preserve"> АНТРОПОЛОГИЯ</w:t>
      </w:r>
      <w:bookmarkEnd w:id="9"/>
      <w:bookmarkEnd w:id="10"/>
      <w:bookmarkEnd w:id="11"/>
      <w:r w:rsidR="009F690E">
        <w:rPr>
          <w:lang w:val="ru-RU"/>
        </w:rPr>
        <w:t>. КРАЕВЕДЕНИЕ</w:t>
      </w:r>
      <w:bookmarkEnd w:id="12"/>
      <w:bookmarkEnd w:id="13"/>
      <w:bookmarkEnd w:id="14"/>
      <w:bookmarkEnd w:id="15"/>
    </w:p>
    <w:p w14:paraId="79BA89AD" w14:textId="77777777" w:rsidR="00CF78D3" w:rsidRPr="00F7633C" w:rsidRDefault="00CF78D3" w:rsidP="00BC2E92">
      <w:pPr>
        <w:pStyle w:val="7"/>
      </w:pPr>
    </w:p>
    <w:p w14:paraId="04409EA6" w14:textId="77777777" w:rsidR="00CF78D3" w:rsidRPr="00F7633C" w:rsidRDefault="00CF78D3" w:rsidP="00E25B19">
      <w:pPr>
        <w:spacing w:after="0" w:line="240" w:lineRule="auto"/>
        <w:ind w:firstLine="709"/>
        <w:rPr>
          <w:rFonts w:ascii="Times New Roman" w:hAnsi="Times New Roman" w:cs="Times New Roman"/>
          <w:sz w:val="28"/>
          <w:lang w:val="be-BY"/>
        </w:rPr>
      </w:pPr>
    </w:p>
    <w:p w14:paraId="3E12EFE4" w14:textId="48CFA1B7" w:rsidR="00CF78D3" w:rsidRPr="00F7633C" w:rsidRDefault="00CA4DAE" w:rsidP="00CC0B6B">
      <w:pPr>
        <w:pStyle w:val="12"/>
      </w:pPr>
      <w:r w:rsidRPr="00CA4DAE">
        <w:t>УДК 391</w:t>
      </w:r>
      <w:r w:rsidR="008A651F">
        <w:t>.2(476.7)</w:t>
      </w:r>
    </w:p>
    <w:p w14:paraId="1215FEA6" w14:textId="568C1541" w:rsidR="00792117" w:rsidRPr="00C84747" w:rsidRDefault="00237BAE" w:rsidP="00C84747">
      <w:pPr>
        <w:pStyle w:val="14"/>
      </w:pPr>
      <w:bookmarkStart w:id="16" w:name="_А._Д._ГАРШКОЎ"/>
      <w:bookmarkStart w:id="17" w:name="_А.Д._ГАРШКОЎ"/>
      <w:bookmarkStart w:id="18" w:name="_Toc181881104"/>
      <w:bookmarkStart w:id="19" w:name="_Toc181884600"/>
      <w:bookmarkStart w:id="20" w:name="_Toc181894092"/>
      <w:bookmarkEnd w:id="16"/>
      <w:bookmarkEnd w:id="17"/>
      <w:r w:rsidRPr="00C84747">
        <w:t>А.А. ІГНАЦЮК</w:t>
      </w:r>
      <w:bookmarkEnd w:id="18"/>
      <w:bookmarkEnd w:id="19"/>
      <w:bookmarkEnd w:id="20"/>
    </w:p>
    <w:p w14:paraId="7789D065" w14:textId="2219417C" w:rsidR="00CF78D3" w:rsidRPr="00F7633C" w:rsidRDefault="00CA4DAE" w:rsidP="00CC0B6B">
      <w:pPr>
        <w:pStyle w:val="3"/>
        <w:rPr>
          <w:lang w:val="be-BY"/>
        </w:rPr>
      </w:pPr>
      <w:r w:rsidRPr="0097408C">
        <w:rPr>
          <w:lang w:val="be-BY"/>
        </w:rPr>
        <w:t>Брэст, БрДУ ім. А.С. Пушкін</w:t>
      </w:r>
      <w:r w:rsidR="00AE07B4" w:rsidRPr="0097408C">
        <w:rPr>
          <w:lang w:val="be-BY"/>
        </w:rPr>
        <w:t>а</w:t>
      </w:r>
    </w:p>
    <w:p w14:paraId="7D0CB956" w14:textId="1BCB6C3F" w:rsidR="00CF78D3" w:rsidRPr="00F7633C" w:rsidRDefault="00227AE6" w:rsidP="00CC0B6B">
      <w:pPr>
        <w:pStyle w:val="4"/>
      </w:pPr>
      <w:r w:rsidRPr="0097408C">
        <w:t>Навуковы кіра</w:t>
      </w:r>
      <w:r>
        <w:t>ўнік</w:t>
      </w:r>
      <w:r w:rsidR="005F0101" w:rsidRPr="005F0101">
        <w:t xml:space="preserve"> – </w:t>
      </w:r>
      <w:r w:rsidR="00CA4DAE" w:rsidRPr="0097408C">
        <w:t>В</w:t>
      </w:r>
      <w:r w:rsidR="005F0101" w:rsidRPr="005F0101">
        <w:t>.</w:t>
      </w:r>
      <w:r w:rsidR="005771DB" w:rsidRPr="0097408C">
        <w:t xml:space="preserve"> </w:t>
      </w:r>
      <w:r w:rsidR="00CA4DAE" w:rsidRPr="0097408C">
        <w:t>Ю</w:t>
      </w:r>
      <w:r w:rsidR="005F0101" w:rsidRPr="005F0101">
        <w:t xml:space="preserve">. </w:t>
      </w:r>
      <w:r w:rsidR="00CA4DAE" w:rsidRPr="0097408C">
        <w:t>П</w:t>
      </w:r>
      <w:r w:rsidR="00CA4DAE">
        <w:t>іліповіч</w:t>
      </w:r>
      <w:r w:rsidR="005F0101" w:rsidRPr="005F0101">
        <w:t xml:space="preserve">, </w:t>
      </w:r>
      <w:r w:rsidR="00CA4DAE" w:rsidRPr="00CA4DAE">
        <w:t>старшы выкладчык</w:t>
      </w:r>
    </w:p>
    <w:p w14:paraId="6C2F01D0" w14:textId="77777777" w:rsidR="00CF78D3" w:rsidRPr="00F7633C" w:rsidRDefault="00CF78D3" w:rsidP="00E25B19">
      <w:pPr>
        <w:spacing w:after="0" w:line="240" w:lineRule="auto"/>
        <w:ind w:firstLine="709"/>
        <w:rPr>
          <w:rFonts w:ascii="Times New Roman" w:hAnsi="Times New Roman" w:cs="Times New Roman"/>
          <w:sz w:val="28"/>
          <w:lang w:val="be-BY"/>
        </w:rPr>
      </w:pPr>
    </w:p>
    <w:p w14:paraId="62658637" w14:textId="7F93E50B" w:rsidR="00CF78D3" w:rsidRPr="0097408C" w:rsidRDefault="00CA4DAE" w:rsidP="00CC0B6B">
      <w:pPr>
        <w:pStyle w:val="5"/>
        <w:rPr>
          <w:lang w:val="be-BY"/>
        </w:rPr>
      </w:pPr>
      <w:r w:rsidRPr="0097408C">
        <w:rPr>
          <w:lang w:val="be-BY"/>
        </w:rPr>
        <w:t xml:space="preserve">ТРАДЫЦЫІ І НАВАЦЫІ Ў ЖАНОЧЫМ АДЗЕННІ ЗАХОДНЕПАЛЕСКАЙ ВЁСКІ Ў 1930– 1950-я гг. </w:t>
      </w:r>
      <w:r>
        <w:rPr>
          <w:lang w:val="be-BY"/>
        </w:rPr>
        <w:br/>
      </w:r>
      <w:r w:rsidRPr="0097408C">
        <w:rPr>
          <w:lang w:val="be-BY"/>
        </w:rPr>
        <w:t>(НА ПРЫКЛАДЗЕ В. БАЛОТЫ КОБРЫНСКАГА РАЁНА)</w:t>
      </w:r>
    </w:p>
    <w:p w14:paraId="6BDADD58" w14:textId="77777777" w:rsidR="00CF78D3" w:rsidRPr="00F7633C" w:rsidRDefault="00CF78D3" w:rsidP="00E25B19">
      <w:pPr>
        <w:spacing w:after="0" w:line="240" w:lineRule="auto"/>
        <w:ind w:firstLine="709"/>
        <w:jc w:val="center"/>
        <w:rPr>
          <w:rFonts w:ascii="Times New Roman" w:hAnsi="Times New Roman" w:cs="Times New Roman"/>
          <w:sz w:val="28"/>
          <w:lang w:val="be-BY"/>
        </w:rPr>
      </w:pPr>
    </w:p>
    <w:p w14:paraId="466A725A" w14:textId="09C2D215" w:rsidR="00CF78D3" w:rsidRPr="00F7633C" w:rsidRDefault="00CA4DAE" w:rsidP="00CC0B6B">
      <w:pPr>
        <w:pStyle w:val="6"/>
      </w:pPr>
      <w:r w:rsidRPr="00CA4DAE">
        <w:t>Артыкул прысвечаны аналізу традыцый і навацый у жаночым касцюме, характэрн</w:t>
      </w:r>
      <w:r>
        <w:t>ы</w:t>
      </w:r>
      <w:r w:rsidR="00C258EB">
        <w:t>х</w:t>
      </w:r>
      <w:r w:rsidRPr="00CA4DAE">
        <w:t xml:space="preserve"> для вёскі </w:t>
      </w:r>
      <w:r w:rsidR="00C258EB">
        <w:t>Балоты Кобрынскага раёна ў</w:t>
      </w:r>
      <w:r w:rsidRPr="00CA4DAE">
        <w:t xml:space="preserve"> 1930-я </w:t>
      </w:r>
      <w:r w:rsidR="00C258EB">
        <w:t>–</w:t>
      </w:r>
      <w:r w:rsidRPr="00CA4DAE">
        <w:t xml:space="preserve"> 1950-я гг. </w:t>
      </w:r>
      <w:r w:rsidR="00C258EB">
        <w:t>Робіцца</w:t>
      </w:r>
      <w:r w:rsidRPr="00CA4DAE">
        <w:t xml:space="preserve"> спроба рэканструкцыі традыцыйнага</w:t>
      </w:r>
      <w:r w:rsidR="00C258EB">
        <w:t xml:space="preserve"> для вёскі</w:t>
      </w:r>
      <w:r w:rsidRPr="00CA4DAE">
        <w:t xml:space="preserve"> касцюма жанчыны. Разглядаюцца спосабы пашыўкі і асаблівасці мастацка-дэкаратыўна</w:t>
      </w:r>
      <w:r w:rsidR="00BD1D65" w:rsidRPr="0097408C">
        <w:t>га</w:t>
      </w:r>
      <w:r w:rsidRPr="00CA4DAE">
        <w:t xml:space="preserve"> аздаблення розных відаў адзення. У даследаванні падкрэсліваюцца змены ў стылі і форме адзення жанчын, звязаныя з сацыяльна-эканамічнымі працэсамі таго часу, а таксама адзначаюцца новыя модныя тэндэнцыі, якія пранік</w:t>
      </w:r>
      <w:r w:rsidR="00C258EB">
        <w:t>а</w:t>
      </w:r>
      <w:r w:rsidRPr="00CA4DAE">
        <w:t>лі ў сельскую мясцовасць.</w:t>
      </w:r>
    </w:p>
    <w:p w14:paraId="7CB1CA6C" w14:textId="77777777" w:rsidR="00CF78D3" w:rsidRPr="00F7633C" w:rsidRDefault="00CF78D3" w:rsidP="00E25B19">
      <w:pPr>
        <w:pStyle w:val="Standard"/>
        <w:ind w:firstLine="709"/>
        <w:jc w:val="both"/>
        <w:rPr>
          <w:rFonts w:ascii="Times New Roman" w:hAnsi="Times New Roman"/>
          <w:szCs w:val="28"/>
          <w:lang w:val="be-BY"/>
        </w:rPr>
      </w:pPr>
    </w:p>
    <w:p w14:paraId="6DDB1F78" w14:textId="61B3D4C7" w:rsidR="00CA4DAE" w:rsidRPr="00C42368" w:rsidRDefault="00CA4DAE" w:rsidP="00CA4DAE">
      <w:pPr>
        <w:spacing w:after="0" w:line="240" w:lineRule="auto"/>
        <w:ind w:firstLine="709"/>
        <w:jc w:val="both"/>
        <w:rPr>
          <w:rFonts w:ascii="Times New Roman" w:hAnsi="Times New Roman" w:cs="Times New Roman"/>
          <w:sz w:val="28"/>
          <w:szCs w:val="28"/>
          <w:lang w:val="be-BY"/>
        </w:rPr>
      </w:pPr>
      <w:r w:rsidRPr="007F7392">
        <w:rPr>
          <w:rFonts w:ascii="Times New Roman" w:hAnsi="Times New Roman" w:cs="Times New Roman"/>
          <w:sz w:val="28"/>
          <w:szCs w:val="28"/>
        </w:rPr>
        <w:t>Усе народы імкнуліся да прыгажосці яшчэ на ранніх этапах сваёй гісторыі. Захоўв</w:t>
      </w:r>
      <w:r>
        <w:rPr>
          <w:rFonts w:ascii="Times New Roman" w:hAnsi="Times New Roman" w:cs="Times New Roman"/>
          <w:sz w:val="28"/>
          <w:szCs w:val="28"/>
        </w:rPr>
        <w:t>аючы</w:t>
      </w:r>
      <w:r w:rsidRPr="007F7392">
        <w:rPr>
          <w:rFonts w:ascii="Times New Roman" w:hAnsi="Times New Roman" w:cs="Times New Roman"/>
          <w:sz w:val="28"/>
          <w:szCs w:val="28"/>
        </w:rPr>
        <w:t xml:space="preserve"> традыцыі і перадаючы свае рамесныя навыкі з пакалення ў пакаленне, майстры змаглі захаваць </w:t>
      </w:r>
      <w:r>
        <w:rPr>
          <w:rFonts w:ascii="Times New Roman" w:hAnsi="Times New Roman" w:cs="Times New Roman"/>
          <w:sz w:val="28"/>
          <w:szCs w:val="28"/>
          <w:lang w:val="be-BY"/>
        </w:rPr>
        <w:t>прыклады</w:t>
      </w:r>
      <w:r w:rsidRPr="007F7392">
        <w:rPr>
          <w:rFonts w:ascii="Times New Roman" w:hAnsi="Times New Roman" w:cs="Times New Roman"/>
          <w:sz w:val="28"/>
          <w:szCs w:val="28"/>
        </w:rPr>
        <w:t xml:space="preserve"> нацыянальнага касцюма, уносячы ў іх новыя вобразныя рашэнні</w:t>
      </w:r>
      <w:r>
        <w:rPr>
          <w:rFonts w:ascii="Times New Roman" w:hAnsi="Times New Roman" w:cs="Times New Roman"/>
          <w:sz w:val="28"/>
          <w:szCs w:val="28"/>
          <w:lang w:val="be-BY"/>
        </w:rPr>
        <w:t xml:space="preserve"> і паняцці. Традыцыйнае адзенне</w:t>
      </w:r>
      <w:r w:rsidRPr="009808F4">
        <w:rPr>
          <w:rFonts w:ascii="Times New Roman" w:hAnsi="Times New Roman" w:cs="Times New Roman"/>
          <w:sz w:val="28"/>
          <w:szCs w:val="28"/>
          <w:lang w:val="be-BY"/>
        </w:rPr>
        <w:t xml:space="preserve"> сельскага насельніцтва </w:t>
      </w:r>
      <w:r>
        <w:rPr>
          <w:rFonts w:ascii="Times New Roman" w:hAnsi="Times New Roman" w:cs="Times New Roman"/>
          <w:sz w:val="28"/>
          <w:szCs w:val="28"/>
          <w:lang w:val="be-BY"/>
        </w:rPr>
        <w:t xml:space="preserve">заўсёды </w:t>
      </w:r>
      <w:r w:rsidRPr="009808F4">
        <w:rPr>
          <w:rFonts w:ascii="Times New Roman" w:hAnsi="Times New Roman" w:cs="Times New Roman"/>
          <w:sz w:val="28"/>
          <w:szCs w:val="28"/>
          <w:lang w:val="be-BY"/>
        </w:rPr>
        <w:t>адлюстроўва</w:t>
      </w:r>
      <w:r>
        <w:rPr>
          <w:rFonts w:ascii="Times New Roman" w:hAnsi="Times New Roman" w:cs="Times New Roman"/>
          <w:sz w:val="28"/>
          <w:szCs w:val="28"/>
          <w:lang w:val="be-BY"/>
        </w:rPr>
        <w:t>ла</w:t>
      </w:r>
      <w:r w:rsidRPr="009808F4">
        <w:rPr>
          <w:rFonts w:ascii="Times New Roman" w:hAnsi="Times New Roman" w:cs="Times New Roman"/>
          <w:sz w:val="28"/>
          <w:szCs w:val="28"/>
          <w:lang w:val="be-BY"/>
        </w:rPr>
        <w:t xml:space="preserve"> шматвяков</w:t>
      </w:r>
      <w:r>
        <w:rPr>
          <w:rFonts w:ascii="Times New Roman" w:hAnsi="Times New Roman" w:cs="Times New Roman"/>
          <w:sz w:val="28"/>
          <w:szCs w:val="28"/>
          <w:lang w:val="be-BY"/>
        </w:rPr>
        <w:t>ыя традыцыі і звычаі</w:t>
      </w:r>
      <w:r w:rsidRPr="009808F4">
        <w:rPr>
          <w:rFonts w:ascii="Times New Roman" w:hAnsi="Times New Roman" w:cs="Times New Roman"/>
          <w:sz w:val="28"/>
          <w:szCs w:val="28"/>
          <w:lang w:val="be-BY"/>
        </w:rPr>
        <w:t>.</w:t>
      </w:r>
      <w:r>
        <w:rPr>
          <w:rFonts w:ascii="Times New Roman" w:hAnsi="Times New Roman" w:cs="Times New Roman"/>
          <w:sz w:val="28"/>
          <w:szCs w:val="28"/>
          <w:lang w:val="be-BY"/>
        </w:rPr>
        <w:t xml:space="preserve"> Увасабленнем прыгажосці і вытанчанасці, сімвалам нацыянальнага гонару і самабытнасці з’яўляўся жаночы народны касцюм, які адрозніваўся </w:t>
      </w:r>
      <w:r w:rsidRPr="00C42368">
        <w:rPr>
          <w:rFonts w:ascii="Times New Roman" w:hAnsi="Times New Roman" w:cs="Times New Roman"/>
          <w:sz w:val="28"/>
          <w:szCs w:val="28"/>
          <w:lang w:val="be-BY"/>
        </w:rPr>
        <w:t xml:space="preserve">асаблівай вынаходлівасцю і </w:t>
      </w:r>
      <w:r>
        <w:rPr>
          <w:rFonts w:ascii="Times New Roman" w:hAnsi="Times New Roman" w:cs="Times New Roman"/>
          <w:sz w:val="28"/>
          <w:szCs w:val="28"/>
          <w:lang w:val="be-BY"/>
        </w:rPr>
        <w:t>высокім узроўнем</w:t>
      </w:r>
      <w:r w:rsidRPr="00C42368">
        <w:rPr>
          <w:rFonts w:ascii="Times New Roman" w:hAnsi="Times New Roman" w:cs="Times New Roman"/>
          <w:sz w:val="28"/>
          <w:szCs w:val="28"/>
          <w:lang w:val="be-BY"/>
        </w:rPr>
        <w:t xml:space="preserve"> майстэрства.</w:t>
      </w:r>
      <w:r>
        <w:rPr>
          <w:rFonts w:ascii="Times New Roman" w:hAnsi="Times New Roman" w:cs="Times New Roman"/>
          <w:sz w:val="28"/>
          <w:szCs w:val="28"/>
          <w:lang w:val="be-BY"/>
        </w:rPr>
        <w:t xml:space="preserve"> Вопратка мае свае лакальныя асаблівасці, у тым ліку і на Заходнім Палессі. Мэтай дадзенага даследавання з’яўляецца апісанне </w:t>
      </w:r>
      <w:r w:rsidRPr="00FB474C">
        <w:rPr>
          <w:rFonts w:ascii="Times New Roman" w:hAnsi="Times New Roman" w:cs="Times New Roman"/>
          <w:sz w:val="28"/>
          <w:szCs w:val="28"/>
          <w:lang w:val="be-BY"/>
        </w:rPr>
        <w:t>традыцый</w:t>
      </w:r>
      <w:r>
        <w:rPr>
          <w:rFonts w:ascii="Times New Roman" w:hAnsi="Times New Roman" w:cs="Times New Roman"/>
          <w:sz w:val="28"/>
          <w:szCs w:val="28"/>
          <w:lang w:val="be-BY"/>
        </w:rPr>
        <w:t>нага жаночага адзення заходнепалескай вёскі ў 1930-я –</w:t>
      </w:r>
      <w:r w:rsidRPr="006926C4">
        <w:rPr>
          <w:rFonts w:ascii="Times New Roman" w:hAnsi="Times New Roman" w:cs="Times New Roman"/>
          <w:sz w:val="28"/>
          <w:szCs w:val="28"/>
          <w:lang w:val="be-BY"/>
        </w:rPr>
        <w:t xml:space="preserve"> 1950-я</w:t>
      </w:r>
      <w:r w:rsidR="00C74123" w:rsidRPr="00C74123">
        <w:rPr>
          <w:rFonts w:ascii="Times New Roman" w:hAnsi="Times New Roman" w:cs="Times New Roman"/>
          <w:sz w:val="28"/>
          <w:szCs w:val="28"/>
          <w:lang w:val="be-BY"/>
        </w:rPr>
        <w:t xml:space="preserve"> </w:t>
      </w:r>
      <w:r w:rsidR="00C74123">
        <w:rPr>
          <w:rFonts w:ascii="Times New Roman" w:hAnsi="Times New Roman" w:cs="Times New Roman"/>
          <w:sz w:val="28"/>
          <w:szCs w:val="28"/>
          <w:lang w:val="be-BY"/>
        </w:rPr>
        <w:t>на прыкладзе в. Балоты Кобрынскага раёна</w:t>
      </w:r>
      <w:r>
        <w:rPr>
          <w:rFonts w:ascii="Times New Roman" w:hAnsi="Times New Roman" w:cs="Times New Roman"/>
          <w:sz w:val="28"/>
          <w:szCs w:val="28"/>
          <w:lang w:val="be-BY"/>
        </w:rPr>
        <w:t>, а таксама выяўленне новаўвядзенняў, якія адбыліся ў азначаны перыяд.</w:t>
      </w:r>
    </w:p>
    <w:p w14:paraId="0A534398" w14:textId="77777777" w:rsidR="00CA4DAE" w:rsidRDefault="00CA4DAE" w:rsidP="00CA4DAE">
      <w:pPr>
        <w:spacing w:after="0" w:line="240" w:lineRule="auto"/>
        <w:ind w:firstLine="709"/>
        <w:jc w:val="both"/>
        <w:rPr>
          <w:rFonts w:ascii="Times New Roman" w:hAnsi="Times New Roman" w:cs="Times New Roman"/>
          <w:sz w:val="28"/>
          <w:szCs w:val="28"/>
          <w:lang w:val="be-BY"/>
        </w:rPr>
      </w:pPr>
      <w:r w:rsidRPr="006926C4">
        <w:rPr>
          <w:rFonts w:ascii="Times New Roman" w:hAnsi="Times New Roman" w:cs="Times New Roman"/>
          <w:sz w:val="28"/>
          <w:szCs w:val="28"/>
          <w:lang w:val="be-BY"/>
        </w:rPr>
        <w:t xml:space="preserve">У 1930-я </w:t>
      </w:r>
      <w:r>
        <w:rPr>
          <w:rFonts w:ascii="Times New Roman" w:hAnsi="Times New Roman" w:cs="Times New Roman"/>
          <w:sz w:val="28"/>
          <w:szCs w:val="28"/>
          <w:lang w:val="be-BY"/>
        </w:rPr>
        <w:t xml:space="preserve">– пачатку 1940-х гг. </w:t>
      </w:r>
      <w:r w:rsidRPr="006926C4">
        <w:rPr>
          <w:rFonts w:ascii="Times New Roman" w:hAnsi="Times New Roman" w:cs="Times New Roman"/>
          <w:sz w:val="28"/>
          <w:szCs w:val="28"/>
          <w:lang w:val="be-BY"/>
        </w:rPr>
        <w:t xml:space="preserve">касцюм сельскіх жанчын </w:t>
      </w:r>
      <w:r>
        <w:rPr>
          <w:rFonts w:ascii="Times New Roman" w:hAnsi="Times New Roman" w:cs="Times New Roman"/>
          <w:sz w:val="28"/>
          <w:szCs w:val="28"/>
          <w:lang w:val="be-BY"/>
        </w:rPr>
        <w:t>уключаў у сабе палатняную сарочку (</w:t>
      </w:r>
      <w:r w:rsidRPr="006926C4">
        <w:rPr>
          <w:rFonts w:ascii="Times New Roman" w:hAnsi="Times New Roman" w:cs="Times New Roman"/>
          <w:sz w:val="28"/>
          <w:szCs w:val="28"/>
          <w:lang w:val="be-BY"/>
        </w:rPr>
        <w:t>кашул</w:t>
      </w:r>
      <w:r>
        <w:rPr>
          <w:rFonts w:ascii="Times New Roman" w:hAnsi="Times New Roman" w:cs="Times New Roman"/>
          <w:sz w:val="28"/>
          <w:szCs w:val="28"/>
          <w:lang w:val="be-BY"/>
        </w:rPr>
        <w:t>ю)</w:t>
      </w:r>
      <w:r w:rsidRPr="006926C4">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спадніцу, фартух, </w:t>
      </w:r>
      <w:r w:rsidRPr="006926C4">
        <w:rPr>
          <w:rFonts w:ascii="Times New Roman" w:hAnsi="Times New Roman" w:cs="Times New Roman"/>
          <w:sz w:val="28"/>
          <w:szCs w:val="28"/>
          <w:lang w:val="be-BY"/>
        </w:rPr>
        <w:t>галаўны ўбор</w:t>
      </w:r>
      <w:r>
        <w:rPr>
          <w:rFonts w:ascii="Times New Roman" w:hAnsi="Times New Roman" w:cs="Times New Roman"/>
          <w:sz w:val="28"/>
          <w:szCs w:val="28"/>
          <w:lang w:val="be-BY"/>
        </w:rPr>
        <w:t xml:space="preserve">, абутак </w:t>
      </w:r>
      <w:r w:rsidRPr="0097408C">
        <w:rPr>
          <w:rFonts w:ascii="Times New Roman" w:hAnsi="Times New Roman" w:cs="Times New Roman"/>
          <w:sz w:val="28"/>
          <w:szCs w:val="28"/>
        </w:rPr>
        <w:t>[</w:t>
      </w:r>
      <w:r>
        <w:rPr>
          <w:rFonts w:ascii="Times New Roman" w:hAnsi="Times New Roman" w:cs="Times New Roman"/>
          <w:sz w:val="28"/>
          <w:szCs w:val="28"/>
        </w:rPr>
        <w:t>8</w:t>
      </w:r>
      <w:r w:rsidRPr="0097408C">
        <w:rPr>
          <w:rFonts w:ascii="Times New Roman" w:hAnsi="Times New Roman" w:cs="Times New Roman"/>
          <w:sz w:val="28"/>
          <w:szCs w:val="28"/>
        </w:rPr>
        <w:t>]</w:t>
      </w:r>
      <w:r w:rsidRPr="006926C4">
        <w:rPr>
          <w:rFonts w:ascii="Times New Roman" w:hAnsi="Times New Roman" w:cs="Times New Roman"/>
          <w:sz w:val="28"/>
          <w:szCs w:val="28"/>
          <w:lang w:val="be-BY"/>
        </w:rPr>
        <w:t>.</w:t>
      </w:r>
      <w:r w:rsidRPr="009D08B0">
        <w:t xml:space="preserve"> </w:t>
      </w:r>
      <w:r w:rsidRPr="009D08B0">
        <w:rPr>
          <w:rFonts w:ascii="Times New Roman" w:hAnsi="Times New Roman" w:cs="Times New Roman"/>
          <w:sz w:val="28"/>
          <w:szCs w:val="28"/>
          <w:lang w:val="be-BY"/>
        </w:rPr>
        <w:t xml:space="preserve">Характэрна было тое, што ўсе </w:t>
      </w:r>
      <w:r>
        <w:rPr>
          <w:rFonts w:ascii="Times New Roman" w:hAnsi="Times New Roman" w:cs="Times New Roman"/>
          <w:sz w:val="28"/>
          <w:szCs w:val="28"/>
          <w:lang w:val="be-BY"/>
        </w:rPr>
        <w:t>пералічаныя</w:t>
      </w:r>
      <w:r w:rsidRPr="009D08B0">
        <w:rPr>
          <w:rFonts w:ascii="Times New Roman" w:hAnsi="Times New Roman" w:cs="Times New Roman"/>
          <w:sz w:val="28"/>
          <w:szCs w:val="28"/>
          <w:lang w:val="be-BY"/>
        </w:rPr>
        <w:t xml:space="preserve"> </w:t>
      </w:r>
      <w:r>
        <w:rPr>
          <w:rFonts w:ascii="Times New Roman" w:hAnsi="Times New Roman" w:cs="Times New Roman"/>
          <w:sz w:val="28"/>
          <w:szCs w:val="28"/>
          <w:lang w:val="be-BY"/>
        </w:rPr>
        <w:t>прадметы</w:t>
      </w:r>
      <w:r w:rsidRPr="009D08B0">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адзення </w:t>
      </w:r>
      <w:r w:rsidRPr="009D08B0">
        <w:rPr>
          <w:rFonts w:ascii="Times New Roman" w:hAnsi="Times New Roman" w:cs="Times New Roman"/>
          <w:sz w:val="28"/>
          <w:szCs w:val="28"/>
          <w:lang w:val="be-BY"/>
        </w:rPr>
        <w:t>захоўвалі традыцыі жаночага строя, уласцівага для вёскі пачатку ХХ ст.</w:t>
      </w:r>
    </w:p>
    <w:p w14:paraId="3754E195" w14:textId="741BC8D4"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Аснову жаночага касцюма складала доўгая палатняная сарочка, якую ў вёсцы часта называлі </w:t>
      </w:r>
      <w:r w:rsidRPr="003C026B">
        <w:rPr>
          <w:rFonts w:ascii="Times New Roman" w:hAnsi="Times New Roman" w:cs="Times New Roman"/>
          <w:i/>
          <w:sz w:val="28"/>
          <w:szCs w:val="28"/>
          <w:lang w:val="be-BY"/>
        </w:rPr>
        <w:t>“каптан”</w:t>
      </w:r>
      <w:r w:rsidRPr="003C026B">
        <w:rPr>
          <w:rFonts w:ascii="Times New Roman" w:hAnsi="Times New Roman" w:cs="Times New Roman"/>
          <w:sz w:val="28"/>
          <w:szCs w:val="28"/>
          <w:lang w:val="be-BY"/>
        </w:rPr>
        <w:t xml:space="preserve">. </w:t>
      </w:r>
      <w:bookmarkStart w:id="21" w:name="_Hlk184726202"/>
      <w:r w:rsidRPr="003C026B">
        <w:rPr>
          <w:rFonts w:ascii="Times New Roman" w:hAnsi="Times New Roman" w:cs="Times New Roman"/>
          <w:sz w:val="28"/>
          <w:szCs w:val="28"/>
          <w:lang w:val="be-BY"/>
        </w:rPr>
        <w:t xml:space="preserve">Шылася яна з тонкага ільнянога палатна, якое адрознівалася асаблівай бялізнай. </w:t>
      </w:r>
      <w:bookmarkEnd w:id="21"/>
      <w:r w:rsidRPr="003C026B">
        <w:rPr>
          <w:rFonts w:ascii="Times New Roman" w:hAnsi="Times New Roman" w:cs="Times New Roman"/>
          <w:sz w:val="28"/>
          <w:szCs w:val="28"/>
          <w:lang w:val="be-BY"/>
        </w:rPr>
        <w:t xml:space="preserve">Жанчыны, як правіла, бялілі сукно на балоце, якое павінна было вымакаць некалькі дзён: </w:t>
      </w:r>
      <w:r w:rsidRPr="003C026B">
        <w:rPr>
          <w:rFonts w:ascii="Times New Roman" w:hAnsi="Times New Roman" w:cs="Times New Roman"/>
          <w:i/>
          <w:sz w:val="28"/>
          <w:szCs w:val="28"/>
          <w:lang w:val="be-BY"/>
        </w:rPr>
        <w:t xml:space="preserve">А як полонтна натчэм, то посоваем на болота. Лён жэ ш сівый, а як занысэш на болота, </w:t>
      </w:r>
      <w:r w:rsidRPr="003C026B">
        <w:rPr>
          <w:rFonts w:ascii="Times New Roman" w:hAnsi="Times New Roman" w:cs="Times New Roman"/>
          <w:i/>
          <w:sz w:val="28"/>
          <w:szCs w:val="28"/>
          <w:lang w:val="be-BY"/>
        </w:rPr>
        <w:lastRenderedPageBreak/>
        <w:t>покладэш по воді, і зробыться білым, а прачемы былы і выбелять, тогді вжэ сорочкы шыють</w:t>
      </w:r>
      <w:r>
        <w:rPr>
          <w:rFonts w:ascii="Times New Roman" w:hAnsi="Times New Roman" w:cs="Times New Roman"/>
          <w:i/>
          <w:sz w:val="28"/>
          <w:szCs w:val="28"/>
          <w:lang w:val="be-BY"/>
        </w:rPr>
        <w:t xml:space="preserve"> </w:t>
      </w:r>
      <w:r w:rsidR="00766A68" w:rsidRPr="00BD1D65">
        <w:rPr>
          <w:rFonts w:ascii="Times New Roman" w:hAnsi="Times New Roman" w:cs="Times New Roman"/>
          <w:iCs/>
          <w:sz w:val="28"/>
          <w:szCs w:val="28"/>
          <w:lang w:val="be-BY"/>
        </w:rPr>
        <w:t>(Шварко К. Ц., 1933)</w:t>
      </w:r>
      <w:r w:rsidR="00766A68" w:rsidRPr="00766A68">
        <w:rPr>
          <w:rFonts w:ascii="Times New Roman" w:hAnsi="Times New Roman" w:cs="Times New Roman"/>
          <w:i/>
          <w:sz w:val="28"/>
          <w:szCs w:val="28"/>
          <w:lang w:val="be-BY"/>
        </w:rPr>
        <w:t xml:space="preserve"> </w:t>
      </w:r>
      <w:r w:rsidRPr="0097408C">
        <w:rPr>
          <w:rFonts w:ascii="Times New Roman" w:hAnsi="Times New Roman" w:cs="Times New Roman"/>
          <w:sz w:val="28"/>
          <w:szCs w:val="28"/>
        </w:rPr>
        <w:t>[</w:t>
      </w:r>
      <w:r>
        <w:rPr>
          <w:rFonts w:ascii="Times New Roman" w:hAnsi="Times New Roman" w:cs="Times New Roman"/>
          <w:sz w:val="28"/>
          <w:szCs w:val="28"/>
        </w:rPr>
        <w:t>9</w:t>
      </w:r>
      <w:r w:rsidRPr="0097408C">
        <w:rPr>
          <w:rFonts w:ascii="Times New Roman" w:hAnsi="Times New Roman" w:cs="Times New Roman"/>
          <w:sz w:val="28"/>
          <w:szCs w:val="28"/>
        </w:rPr>
        <w:t>]</w:t>
      </w:r>
      <w:r w:rsidRPr="003C026B">
        <w:rPr>
          <w:rFonts w:ascii="Times New Roman" w:hAnsi="Times New Roman" w:cs="Times New Roman"/>
          <w:sz w:val="28"/>
          <w:szCs w:val="28"/>
          <w:lang w:val="be-BY"/>
        </w:rPr>
        <w:t>. Сарочка складалася з трох прамых полак, а рукавы вырабляліся доўгімі. Кашуля мела стаячы каўнер (мясцовая назва “</w:t>
      </w:r>
      <w:r w:rsidRPr="00766A68">
        <w:rPr>
          <w:rFonts w:ascii="Times New Roman" w:hAnsi="Times New Roman" w:cs="Times New Roman"/>
          <w:i/>
          <w:sz w:val="28"/>
          <w:szCs w:val="28"/>
          <w:lang w:val="be-BY"/>
        </w:rPr>
        <w:t>комырэць</w:t>
      </w:r>
      <w:r w:rsidRPr="003C026B">
        <w:rPr>
          <w:rFonts w:ascii="Times New Roman" w:hAnsi="Times New Roman" w:cs="Times New Roman"/>
          <w:sz w:val="28"/>
          <w:szCs w:val="28"/>
          <w:lang w:val="be-BY"/>
        </w:rPr>
        <w:t>”), які зашпільваўся з левага боку на два гузікі, вырабленыя з нітак ці дрэва. Манжэты вырабляліся з прамым ці звонападобным краем. Аздабленне сарочкі мела свае асаблівасці, характэрныя для вёскі. Асабліва ярка вышывалася планка-манішка, якая была багата ўпрыгожана геаметрызаваным раслінным арнаментам, вышытым крыжыкам чорнага і чырвонага колеру ў форме традыцыйных ромбаў і касых крыжыкаў. Сустракаліся ўзоры зялёнага, жоўтага, блакітнага, ружовага, сіняга колераў. Адпаведна вышываліся рукавы і манжэты. Каўнерык аздаблялі па жаданню і на</w:t>
      </w:r>
      <w:r>
        <w:rPr>
          <w:rFonts w:ascii="Times New Roman" w:hAnsi="Times New Roman" w:cs="Times New Roman"/>
          <w:sz w:val="28"/>
          <w:szCs w:val="28"/>
          <w:lang w:val="be-BY"/>
        </w:rPr>
        <w:t xml:space="preserve"> густ гаспадыні [1; 13, с. 704]</w:t>
      </w:r>
      <w:r w:rsidRPr="003C026B">
        <w:rPr>
          <w:rFonts w:ascii="Times New Roman" w:hAnsi="Times New Roman" w:cs="Times New Roman"/>
          <w:sz w:val="28"/>
          <w:szCs w:val="28"/>
          <w:lang w:val="be-BY"/>
        </w:rPr>
        <w:t xml:space="preserve">. </w:t>
      </w:r>
    </w:p>
    <w:p w14:paraId="4E5ECFEB" w14:textId="77777777"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Сарочкі замужніх жанчын у вёсцы мелі свае асаблівасці: на іх правым “клынку” (цвіклі) нашывалі некалькі арнаментальных матываў. Калі на вяселлі спявалі прыпеўкі, то падымалі ўверх правую руку з хустачкай і махалі ёй, каб</w:t>
      </w:r>
      <w:r>
        <w:rPr>
          <w:rFonts w:ascii="Times New Roman" w:hAnsi="Times New Roman" w:cs="Times New Roman"/>
          <w:sz w:val="28"/>
          <w:szCs w:val="28"/>
          <w:lang w:val="be-BY"/>
        </w:rPr>
        <w:t xml:space="preserve"> вышыўку было відаць [13, с. 704]</w:t>
      </w:r>
      <w:r w:rsidRPr="003C026B">
        <w:rPr>
          <w:rFonts w:ascii="Times New Roman" w:hAnsi="Times New Roman" w:cs="Times New Roman"/>
          <w:sz w:val="28"/>
          <w:szCs w:val="28"/>
          <w:lang w:val="be-BY"/>
        </w:rPr>
        <w:t xml:space="preserve">. </w:t>
      </w:r>
    </w:p>
    <w:p w14:paraId="265B4C74" w14:textId="6DF4BB24" w:rsidR="00CA4DAE" w:rsidRPr="003C026B" w:rsidRDefault="00766A68" w:rsidP="00CA4DAE">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Кашулі</w:t>
      </w:r>
      <w:r w:rsidR="00CA4DAE" w:rsidRPr="003C026B">
        <w:rPr>
          <w:rFonts w:ascii="Times New Roman" w:hAnsi="Times New Roman" w:cs="Times New Roman"/>
          <w:sz w:val="28"/>
          <w:szCs w:val="28"/>
          <w:lang w:val="be-BY"/>
        </w:rPr>
        <w:t xml:space="preserve"> былі базавым прадметам гардэроба, таму не страчвалі свайго значэня да 1980-х гг. Калі пасля вайны іх яшчэ насілі маладыя дзяўчаты і жанчыны, то з 1960-х гг. </w:t>
      </w:r>
      <w:r w:rsidR="002320D7">
        <w:rPr>
          <w:rFonts w:ascii="Times New Roman" w:hAnsi="Times New Roman" w:cs="Times New Roman"/>
          <w:sz w:val="28"/>
          <w:szCs w:val="28"/>
          <w:lang w:val="be-BY"/>
        </w:rPr>
        <w:t>“</w:t>
      </w:r>
      <w:r w:rsidR="00CA4DAE" w:rsidRPr="003C026B">
        <w:rPr>
          <w:rFonts w:ascii="Times New Roman" w:hAnsi="Times New Roman" w:cs="Times New Roman"/>
          <w:sz w:val="28"/>
          <w:szCs w:val="28"/>
          <w:lang w:val="be-BY"/>
        </w:rPr>
        <w:t>каптаны</w:t>
      </w:r>
      <w:r w:rsidR="002320D7">
        <w:rPr>
          <w:rFonts w:ascii="Times New Roman" w:hAnsi="Times New Roman" w:cs="Times New Roman"/>
          <w:sz w:val="28"/>
          <w:szCs w:val="28"/>
          <w:lang w:val="be-BY"/>
        </w:rPr>
        <w:t>”</w:t>
      </w:r>
      <w:r w:rsidR="00CA4DAE" w:rsidRPr="003C026B">
        <w:rPr>
          <w:rFonts w:ascii="Times New Roman" w:hAnsi="Times New Roman" w:cs="Times New Roman"/>
          <w:sz w:val="28"/>
          <w:szCs w:val="28"/>
          <w:lang w:val="be-BY"/>
        </w:rPr>
        <w:t xml:space="preserve"> насілі ў большасці бабулі. Дзяўчаткі лічылі такую вопратку старамоднай і а</w:t>
      </w:r>
      <w:r w:rsidR="00CA4DAE">
        <w:rPr>
          <w:rFonts w:ascii="Times New Roman" w:hAnsi="Times New Roman" w:cs="Times New Roman"/>
          <w:sz w:val="28"/>
          <w:szCs w:val="28"/>
          <w:lang w:val="be-BY"/>
        </w:rPr>
        <w:t xml:space="preserve">ддавалі перавагу новым блузкам </w:t>
      </w:r>
      <w:r w:rsidR="00CA4DAE" w:rsidRPr="0097408C">
        <w:rPr>
          <w:rFonts w:ascii="Times New Roman" w:hAnsi="Times New Roman" w:cs="Times New Roman"/>
          <w:sz w:val="28"/>
          <w:szCs w:val="28"/>
          <w:lang w:val="be-BY"/>
        </w:rPr>
        <w:t>[10]</w:t>
      </w:r>
      <w:r w:rsidR="00CA4DAE" w:rsidRPr="003C026B">
        <w:rPr>
          <w:rFonts w:ascii="Times New Roman" w:hAnsi="Times New Roman" w:cs="Times New Roman"/>
          <w:sz w:val="28"/>
          <w:szCs w:val="28"/>
          <w:lang w:val="be-BY"/>
        </w:rPr>
        <w:t>.</w:t>
      </w:r>
    </w:p>
    <w:p w14:paraId="1790CF11" w14:textId="0F09A8F5"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Паверх сарочкі жанчыны надзявалі спадніцу ці </w:t>
      </w:r>
      <w:r w:rsidR="0000464C">
        <w:rPr>
          <w:rFonts w:ascii="Times New Roman" w:hAnsi="Times New Roman" w:cs="Times New Roman"/>
          <w:sz w:val="28"/>
          <w:szCs w:val="28"/>
          <w:lang w:val="be-BY"/>
        </w:rPr>
        <w:t>“</w:t>
      </w:r>
      <w:r w:rsidRPr="0000464C">
        <w:rPr>
          <w:rFonts w:ascii="Times New Roman" w:hAnsi="Times New Roman" w:cs="Times New Roman"/>
          <w:i/>
          <w:sz w:val="28"/>
          <w:szCs w:val="28"/>
          <w:lang w:val="be-BY"/>
        </w:rPr>
        <w:t>андарак</w:t>
      </w:r>
      <w:r w:rsidR="0000464C">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Розніца паміж імі была ў матэрыяле пашыўкі. </w:t>
      </w:r>
      <w:r w:rsidR="0000464C">
        <w:rPr>
          <w:rFonts w:ascii="Times New Roman" w:hAnsi="Times New Roman" w:cs="Times New Roman"/>
          <w:sz w:val="28"/>
          <w:szCs w:val="28"/>
          <w:lang w:val="be-BY"/>
        </w:rPr>
        <w:t>“</w:t>
      </w:r>
      <w:r w:rsidRPr="0000464C">
        <w:rPr>
          <w:rFonts w:ascii="Times New Roman" w:hAnsi="Times New Roman" w:cs="Times New Roman"/>
          <w:i/>
          <w:sz w:val="28"/>
          <w:szCs w:val="28"/>
          <w:lang w:val="be-BY"/>
        </w:rPr>
        <w:t>Андарак</w:t>
      </w:r>
      <w:r w:rsidR="0000464C">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вырабляўся з ваўняной тканіны. Трэба адзначыць, што ўжо ў 1930-я гг. яго насілі пераважна старыя жанчыны. </w:t>
      </w:r>
      <w:r w:rsidR="0000464C">
        <w:rPr>
          <w:rFonts w:ascii="Times New Roman" w:hAnsi="Times New Roman" w:cs="Times New Roman"/>
          <w:sz w:val="28"/>
          <w:szCs w:val="28"/>
          <w:lang w:val="be-BY"/>
        </w:rPr>
        <w:t>“</w:t>
      </w:r>
      <w:r w:rsidRPr="0000464C">
        <w:rPr>
          <w:rFonts w:ascii="Times New Roman" w:hAnsi="Times New Roman" w:cs="Times New Roman"/>
          <w:i/>
          <w:sz w:val="28"/>
          <w:szCs w:val="28"/>
          <w:lang w:val="be-BY"/>
        </w:rPr>
        <w:t>Андарак</w:t>
      </w:r>
      <w:r w:rsidR="0000464C" w:rsidRPr="0000464C">
        <w:rPr>
          <w:rFonts w:ascii="Times New Roman" w:hAnsi="Times New Roman" w:cs="Times New Roman"/>
          <w:i/>
          <w:sz w:val="28"/>
          <w:szCs w:val="28"/>
          <w:lang w:val="be-BY"/>
        </w:rPr>
        <w:t>і</w:t>
      </w:r>
      <w:r w:rsidR="0000464C">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шылі з тканіны чырвонага колеру з рознакаляровымі палоскамі. У хуткім часе такія спадніцы ўвогуле перасталі выкарыстоўваць у якасці штодзённага адзення, таму яго апраналі дзеля жартаў: </w:t>
      </w:r>
      <w:r w:rsidRPr="003C026B">
        <w:rPr>
          <w:rFonts w:ascii="Times New Roman" w:hAnsi="Times New Roman" w:cs="Times New Roman"/>
          <w:i/>
          <w:sz w:val="28"/>
          <w:szCs w:val="28"/>
          <w:lang w:val="be-BY"/>
        </w:rPr>
        <w:t>Юбка такая твэрда, шэ і паскы булы. Бабы носылы. Йшла такая у полоску. Брыдкы воны булы, мыні ны нравылося. А вжэ потом, колы на свадьбе у цыганы збыралыся, то напраналы іх</w:t>
      </w:r>
      <w:r w:rsidRPr="003C026B">
        <w:rPr>
          <w:rFonts w:ascii="Times New Roman" w:hAnsi="Times New Roman" w:cs="Times New Roman"/>
          <w:sz w:val="28"/>
          <w:szCs w:val="28"/>
          <w:lang w:val="be-BY"/>
        </w:rPr>
        <w:t xml:space="preserve"> [</w:t>
      </w:r>
      <w:r>
        <w:rPr>
          <w:rFonts w:ascii="Times New Roman" w:hAnsi="Times New Roman" w:cs="Times New Roman"/>
          <w:sz w:val="28"/>
          <w:szCs w:val="28"/>
          <w:lang w:val="be-BY"/>
        </w:rPr>
        <w:t>8</w:t>
      </w:r>
      <w:r w:rsidRPr="003C026B">
        <w:rPr>
          <w:rFonts w:ascii="Times New Roman" w:hAnsi="Times New Roman" w:cs="Times New Roman"/>
          <w:sz w:val="28"/>
          <w:szCs w:val="28"/>
          <w:lang w:val="be-BY"/>
        </w:rPr>
        <w:t xml:space="preserve">]. Сярод маладых дзяўчат казалі: </w:t>
      </w:r>
      <w:r w:rsidRPr="003C026B">
        <w:rPr>
          <w:rFonts w:ascii="Times New Roman" w:hAnsi="Times New Roman" w:cs="Times New Roman"/>
          <w:i/>
          <w:sz w:val="28"/>
          <w:szCs w:val="28"/>
          <w:lang w:val="be-BY"/>
        </w:rPr>
        <w:t>Наложаный андарак, з роду ны бачыв так</w:t>
      </w:r>
      <w:r>
        <w:rPr>
          <w:rFonts w:ascii="Times New Roman" w:hAnsi="Times New Roman" w:cs="Times New Roman"/>
          <w:sz w:val="28"/>
          <w:szCs w:val="28"/>
          <w:lang w:val="be-BY"/>
        </w:rPr>
        <w:t xml:space="preserve"> </w:t>
      </w:r>
      <w:r w:rsidR="002320D7">
        <w:rPr>
          <w:rFonts w:ascii="Times New Roman" w:hAnsi="Times New Roman" w:cs="Times New Roman"/>
          <w:sz w:val="28"/>
          <w:szCs w:val="28"/>
          <w:lang w:val="be-BY"/>
        </w:rPr>
        <w:t>(</w:t>
      </w:r>
      <w:r w:rsidR="002320D7" w:rsidRPr="002320D7">
        <w:rPr>
          <w:rFonts w:ascii="Times New Roman" w:hAnsi="Times New Roman" w:cs="Times New Roman"/>
          <w:sz w:val="28"/>
          <w:szCs w:val="28"/>
          <w:lang w:val="be-BY"/>
        </w:rPr>
        <w:t>Левая С. А., 1926</w:t>
      </w:r>
      <w:r w:rsidR="002320D7">
        <w:rPr>
          <w:rFonts w:ascii="Times New Roman" w:hAnsi="Times New Roman" w:cs="Times New Roman"/>
          <w:sz w:val="28"/>
          <w:szCs w:val="28"/>
          <w:lang w:val="be-BY"/>
        </w:rPr>
        <w:t>)</w:t>
      </w:r>
      <w:r w:rsidR="002320D7" w:rsidRPr="002320D7">
        <w:rPr>
          <w:rFonts w:ascii="Times New Roman" w:hAnsi="Times New Roman" w:cs="Times New Roman"/>
          <w:sz w:val="28"/>
          <w:szCs w:val="28"/>
          <w:lang w:val="be-BY"/>
        </w:rPr>
        <w:t xml:space="preserve"> </w:t>
      </w:r>
      <w:r w:rsidRPr="0097408C">
        <w:rPr>
          <w:rFonts w:ascii="Times New Roman" w:hAnsi="Times New Roman" w:cs="Times New Roman"/>
          <w:sz w:val="28"/>
          <w:szCs w:val="28"/>
        </w:rPr>
        <w:t>[</w:t>
      </w:r>
      <w:r>
        <w:rPr>
          <w:rFonts w:ascii="Times New Roman" w:hAnsi="Times New Roman" w:cs="Times New Roman"/>
          <w:sz w:val="28"/>
          <w:szCs w:val="28"/>
        </w:rPr>
        <w:t>8</w:t>
      </w:r>
      <w:r w:rsidRPr="0097408C">
        <w:rPr>
          <w:rFonts w:ascii="Times New Roman" w:hAnsi="Times New Roman" w:cs="Times New Roman"/>
          <w:sz w:val="28"/>
          <w:szCs w:val="28"/>
        </w:rPr>
        <w:t>]</w:t>
      </w:r>
      <w:r w:rsidRPr="003C026B">
        <w:rPr>
          <w:rFonts w:ascii="Times New Roman" w:hAnsi="Times New Roman" w:cs="Times New Roman"/>
          <w:sz w:val="28"/>
          <w:szCs w:val="28"/>
          <w:lang w:val="be-BY"/>
        </w:rPr>
        <w:t xml:space="preserve">. </w:t>
      </w:r>
    </w:p>
    <w:p w14:paraId="2964793F" w14:textId="2094BF31"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Спадніцы з ільнянога сукна </w:t>
      </w:r>
      <w:r w:rsidR="005C07FF">
        <w:rPr>
          <w:rFonts w:ascii="Times New Roman" w:hAnsi="Times New Roman" w:cs="Times New Roman"/>
          <w:sz w:val="28"/>
          <w:szCs w:val="28"/>
          <w:lang w:val="be-BY"/>
        </w:rPr>
        <w:t>шылася</w:t>
      </w:r>
      <w:r w:rsidRPr="003C026B">
        <w:rPr>
          <w:rFonts w:ascii="Times New Roman" w:hAnsi="Times New Roman" w:cs="Times New Roman"/>
          <w:sz w:val="28"/>
          <w:szCs w:val="28"/>
          <w:lang w:val="be-BY"/>
        </w:rPr>
        <w:t xml:space="preserve"> з трох палотнішчаў са складкамі ці са зборкамі. Яе даўжыня заўсёды была амаль аднолькавая – 80 сантыметраў. Абавязкова п</w:t>
      </w:r>
      <w:r>
        <w:rPr>
          <w:rFonts w:ascii="Times New Roman" w:hAnsi="Times New Roman" w:cs="Times New Roman"/>
          <w:sz w:val="28"/>
          <w:szCs w:val="28"/>
          <w:lang w:val="be-BY"/>
        </w:rPr>
        <w:t xml:space="preserve">аверх спадніцы </w:t>
      </w:r>
      <w:r w:rsidR="002320D7">
        <w:rPr>
          <w:rFonts w:ascii="Times New Roman" w:hAnsi="Times New Roman" w:cs="Times New Roman"/>
          <w:sz w:val="28"/>
          <w:szCs w:val="28"/>
          <w:lang w:val="be-BY"/>
        </w:rPr>
        <w:t>быў</w:t>
      </w:r>
      <w:r>
        <w:rPr>
          <w:rFonts w:ascii="Times New Roman" w:hAnsi="Times New Roman" w:cs="Times New Roman"/>
          <w:sz w:val="28"/>
          <w:szCs w:val="28"/>
          <w:lang w:val="be-BY"/>
        </w:rPr>
        <w:t xml:space="preserve"> пояс </w:t>
      </w:r>
      <w:r w:rsidRPr="0097408C">
        <w:rPr>
          <w:rFonts w:ascii="Times New Roman" w:hAnsi="Times New Roman" w:cs="Times New Roman"/>
          <w:sz w:val="28"/>
          <w:szCs w:val="28"/>
        </w:rPr>
        <w:t>[</w:t>
      </w:r>
      <w:r>
        <w:rPr>
          <w:rFonts w:ascii="Times New Roman" w:hAnsi="Times New Roman" w:cs="Times New Roman"/>
          <w:sz w:val="28"/>
          <w:szCs w:val="28"/>
        </w:rPr>
        <w:t>1</w:t>
      </w:r>
      <w:r w:rsidRPr="0097408C">
        <w:rPr>
          <w:rFonts w:ascii="Times New Roman" w:hAnsi="Times New Roman" w:cs="Times New Roman"/>
          <w:sz w:val="28"/>
          <w:szCs w:val="28"/>
        </w:rPr>
        <w:t>]</w:t>
      </w:r>
      <w:r w:rsidRPr="003C026B">
        <w:rPr>
          <w:rFonts w:ascii="Times New Roman" w:hAnsi="Times New Roman" w:cs="Times New Roman"/>
          <w:sz w:val="28"/>
          <w:szCs w:val="28"/>
          <w:lang w:val="be-BY"/>
        </w:rPr>
        <w:t>. Для вёскі была характэрная асаблівасць: дзяўчаты завязвалі паясы на левы бок, а замужнія</w:t>
      </w:r>
      <w:r>
        <w:rPr>
          <w:rFonts w:ascii="Times New Roman" w:hAnsi="Times New Roman" w:cs="Times New Roman"/>
          <w:sz w:val="28"/>
          <w:szCs w:val="28"/>
          <w:lang w:val="be-BY"/>
        </w:rPr>
        <w:t xml:space="preserve"> жанчыны – на правы [</w:t>
      </w:r>
      <w:r w:rsidRPr="0097408C">
        <w:rPr>
          <w:rFonts w:ascii="Times New Roman" w:hAnsi="Times New Roman" w:cs="Times New Roman"/>
          <w:sz w:val="28"/>
          <w:szCs w:val="28"/>
        </w:rPr>
        <w:t>13</w:t>
      </w:r>
      <w:r>
        <w:rPr>
          <w:rFonts w:ascii="Times New Roman" w:hAnsi="Times New Roman" w:cs="Times New Roman"/>
          <w:sz w:val="28"/>
          <w:szCs w:val="28"/>
          <w:lang w:val="be-BY"/>
        </w:rPr>
        <w:t>, с. 785]</w:t>
      </w:r>
      <w:r w:rsidRPr="003C026B">
        <w:rPr>
          <w:rFonts w:ascii="Times New Roman" w:hAnsi="Times New Roman" w:cs="Times New Roman"/>
          <w:sz w:val="28"/>
          <w:szCs w:val="28"/>
          <w:lang w:val="be-BY"/>
        </w:rPr>
        <w:t>.</w:t>
      </w:r>
    </w:p>
    <w:p w14:paraId="0E8C36F6" w14:textId="0500C632"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У 1930–1940-я гг. дзяўчаты практыкавалі фарбаванне спадніц і сарочак. Так, ніжняе адзенне варылі з альховымі шышкамі, дзякуючы чаму атрымоўваўся чорны, карычневы, рыжы колер: </w:t>
      </w:r>
      <w:r w:rsidRPr="003C026B">
        <w:rPr>
          <w:rFonts w:ascii="Times New Roman" w:hAnsi="Times New Roman" w:cs="Times New Roman"/>
          <w:i/>
          <w:sz w:val="28"/>
          <w:szCs w:val="28"/>
          <w:lang w:val="be-BY"/>
        </w:rPr>
        <w:t>Тыя сорочкы красылы, тыя што верхні, спадніцу шылы с тканого, якія хоч булы. Калі на якэ свято, то робылы цветные, а на буднячны булы якіясь рыжы</w:t>
      </w:r>
      <w:r w:rsidRPr="0097408C">
        <w:rPr>
          <w:rFonts w:ascii="Times New Roman" w:hAnsi="Times New Roman" w:cs="Times New Roman"/>
          <w:i/>
          <w:sz w:val="28"/>
          <w:szCs w:val="28"/>
        </w:rPr>
        <w:t xml:space="preserve"> </w:t>
      </w:r>
      <w:r w:rsidR="002320D7" w:rsidRPr="002320D7">
        <w:rPr>
          <w:rFonts w:ascii="Times New Roman" w:hAnsi="Times New Roman" w:cs="Times New Roman"/>
          <w:sz w:val="28"/>
          <w:szCs w:val="28"/>
          <w:lang w:val="be-BY"/>
        </w:rPr>
        <w:t>(</w:t>
      </w:r>
      <w:r w:rsidR="002320D7" w:rsidRPr="0097408C">
        <w:rPr>
          <w:rFonts w:ascii="Times New Roman" w:hAnsi="Times New Roman" w:cs="Times New Roman"/>
          <w:sz w:val="28"/>
          <w:szCs w:val="28"/>
        </w:rPr>
        <w:t>Ігнацюк М. Г., 1941</w:t>
      </w:r>
      <w:r w:rsidR="002320D7" w:rsidRPr="002320D7">
        <w:rPr>
          <w:rFonts w:ascii="Times New Roman" w:hAnsi="Times New Roman" w:cs="Times New Roman"/>
          <w:sz w:val="28"/>
          <w:szCs w:val="28"/>
          <w:lang w:val="be-BY"/>
        </w:rPr>
        <w:t>)</w:t>
      </w:r>
      <w:r w:rsidR="002320D7" w:rsidRPr="0097408C">
        <w:rPr>
          <w:rFonts w:ascii="Times New Roman" w:hAnsi="Times New Roman" w:cs="Times New Roman"/>
          <w:i/>
          <w:sz w:val="28"/>
          <w:szCs w:val="28"/>
        </w:rPr>
        <w:t xml:space="preserve"> </w:t>
      </w:r>
      <w:r w:rsidRPr="0097408C">
        <w:rPr>
          <w:rFonts w:ascii="Times New Roman" w:hAnsi="Times New Roman" w:cs="Times New Roman"/>
          <w:sz w:val="28"/>
          <w:szCs w:val="28"/>
        </w:rPr>
        <w:t>[2]</w:t>
      </w:r>
      <w:r w:rsidRPr="003C026B">
        <w:rPr>
          <w:rFonts w:ascii="Times New Roman" w:hAnsi="Times New Roman" w:cs="Times New Roman"/>
          <w:sz w:val="28"/>
          <w:szCs w:val="28"/>
          <w:lang w:val="be-BY"/>
        </w:rPr>
        <w:t xml:space="preserve">. </w:t>
      </w:r>
      <w:r w:rsidR="002320D7">
        <w:rPr>
          <w:rFonts w:ascii="Times New Roman" w:hAnsi="Times New Roman" w:cs="Times New Roman"/>
          <w:sz w:val="28"/>
          <w:szCs w:val="28"/>
          <w:lang w:val="be-BY"/>
        </w:rPr>
        <w:t>Зр</w:t>
      </w:r>
      <w:r w:rsidRPr="003C026B">
        <w:rPr>
          <w:rFonts w:ascii="Times New Roman" w:hAnsi="Times New Roman" w:cs="Times New Roman"/>
          <w:sz w:val="28"/>
          <w:szCs w:val="28"/>
          <w:lang w:val="be-BY"/>
        </w:rPr>
        <w:t>эдк</w:t>
      </w:r>
      <w:r w:rsidR="002320D7">
        <w:rPr>
          <w:rFonts w:ascii="Times New Roman" w:hAnsi="Times New Roman" w:cs="Times New Roman"/>
          <w:sz w:val="28"/>
          <w:szCs w:val="28"/>
          <w:lang w:val="be-BY"/>
        </w:rPr>
        <w:t>у</w:t>
      </w:r>
      <w:r w:rsidRPr="003C026B">
        <w:rPr>
          <w:rFonts w:ascii="Times New Roman" w:hAnsi="Times New Roman" w:cs="Times New Roman"/>
          <w:sz w:val="28"/>
          <w:szCs w:val="28"/>
          <w:lang w:val="be-BY"/>
        </w:rPr>
        <w:t xml:space="preserve"> ў якасці</w:t>
      </w:r>
      <w:r>
        <w:rPr>
          <w:rFonts w:ascii="Times New Roman" w:hAnsi="Times New Roman" w:cs="Times New Roman"/>
          <w:sz w:val="28"/>
          <w:szCs w:val="28"/>
          <w:lang w:val="be-BY"/>
        </w:rPr>
        <w:t xml:space="preserve"> фарбаў </w:t>
      </w:r>
      <w:r w:rsidR="002320D7">
        <w:rPr>
          <w:rFonts w:ascii="Times New Roman" w:hAnsi="Times New Roman" w:cs="Times New Roman"/>
          <w:sz w:val="28"/>
          <w:szCs w:val="28"/>
          <w:lang w:val="be-BY"/>
        </w:rPr>
        <w:t xml:space="preserve">маглі </w:t>
      </w:r>
      <w:r>
        <w:rPr>
          <w:rFonts w:ascii="Times New Roman" w:hAnsi="Times New Roman" w:cs="Times New Roman"/>
          <w:sz w:val="28"/>
          <w:szCs w:val="28"/>
          <w:lang w:val="be-BY"/>
        </w:rPr>
        <w:t>выкарыстоўва</w:t>
      </w:r>
      <w:r w:rsidR="002320D7">
        <w:rPr>
          <w:rFonts w:ascii="Times New Roman" w:hAnsi="Times New Roman" w:cs="Times New Roman"/>
          <w:sz w:val="28"/>
          <w:szCs w:val="28"/>
          <w:lang w:val="be-BY"/>
        </w:rPr>
        <w:t>ць</w:t>
      </w:r>
      <w:r>
        <w:rPr>
          <w:rFonts w:ascii="Times New Roman" w:hAnsi="Times New Roman" w:cs="Times New Roman"/>
          <w:sz w:val="28"/>
          <w:szCs w:val="28"/>
          <w:lang w:val="be-BY"/>
        </w:rPr>
        <w:t xml:space="preserve"> чарніла </w:t>
      </w:r>
      <w:r w:rsidRPr="0097408C">
        <w:rPr>
          <w:rFonts w:ascii="Times New Roman" w:hAnsi="Times New Roman" w:cs="Times New Roman"/>
          <w:sz w:val="28"/>
          <w:szCs w:val="28"/>
          <w:lang w:val="be-BY"/>
        </w:rPr>
        <w:t>[10]</w:t>
      </w:r>
      <w:r w:rsidRPr="003C026B">
        <w:rPr>
          <w:rFonts w:ascii="Times New Roman" w:hAnsi="Times New Roman" w:cs="Times New Roman"/>
          <w:sz w:val="28"/>
          <w:szCs w:val="28"/>
          <w:lang w:val="be-BY"/>
        </w:rPr>
        <w:t>.</w:t>
      </w:r>
    </w:p>
    <w:p w14:paraId="34254360" w14:textId="37CE4C7F"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lastRenderedPageBreak/>
        <w:t>У комплекс касцюма ўваходзіў фартух (</w:t>
      </w:r>
      <w:r w:rsidRPr="0052113F">
        <w:rPr>
          <w:rFonts w:ascii="Times New Roman" w:hAnsi="Times New Roman" w:cs="Times New Roman"/>
          <w:i/>
          <w:sz w:val="28"/>
          <w:szCs w:val="28"/>
          <w:lang w:val="be-BY"/>
        </w:rPr>
        <w:t>“хвартух”</w:t>
      </w:r>
      <w:r w:rsidRPr="003C026B">
        <w:rPr>
          <w:rFonts w:ascii="Times New Roman" w:hAnsi="Times New Roman" w:cs="Times New Roman"/>
          <w:sz w:val="28"/>
          <w:szCs w:val="28"/>
          <w:lang w:val="be-BY"/>
        </w:rPr>
        <w:t>). Ён накладаўся на спадніцу спераду і завязваўся на шнурочках па таліі ззаду. Сам фартух, як правіла, вырабляўся ў выглядзе пр</w:t>
      </w:r>
      <w:r>
        <w:rPr>
          <w:rFonts w:ascii="Times New Roman" w:hAnsi="Times New Roman" w:cs="Times New Roman"/>
          <w:sz w:val="28"/>
          <w:szCs w:val="28"/>
          <w:lang w:val="be-BY"/>
        </w:rPr>
        <w:t>амавугольнага ільнянога палатна</w:t>
      </w:r>
      <w:r w:rsidRPr="0097408C">
        <w:rPr>
          <w:rFonts w:eastAsiaTheme="majorEastAsia"/>
        </w:rPr>
        <w:t xml:space="preserve"> </w:t>
      </w:r>
      <w:r w:rsidRPr="0097408C">
        <w:rPr>
          <w:rFonts w:ascii="Times New Roman" w:hAnsi="Times New Roman" w:cs="Times New Roman"/>
          <w:sz w:val="28"/>
          <w:szCs w:val="28"/>
        </w:rPr>
        <w:t>[5]</w:t>
      </w:r>
      <w:r w:rsidRPr="003C026B">
        <w:rPr>
          <w:rFonts w:ascii="Times New Roman" w:hAnsi="Times New Roman" w:cs="Times New Roman"/>
          <w:sz w:val="28"/>
          <w:szCs w:val="28"/>
          <w:lang w:val="be-BY"/>
        </w:rPr>
        <w:t>. Аздабляўся фартух вышыўкай, якая складалася з такіх самых матываў арнаменту, што і на сарочцы. Ніжняя яго частка ўпрыгожвалася арнаментальнымі палосамі чырвонага і чорнага колеру. Палоскі маглі быць як вузкія, так і шырокія. Усё залежала ад густу гаспадыні, якая вырабляла фартух [</w:t>
      </w:r>
      <w:r w:rsidRPr="0097408C">
        <w:rPr>
          <w:rFonts w:ascii="Times New Roman" w:hAnsi="Times New Roman" w:cs="Times New Roman"/>
          <w:sz w:val="28"/>
          <w:szCs w:val="28"/>
          <w:lang w:val="be-BY"/>
        </w:rPr>
        <w:t>13</w:t>
      </w:r>
      <w:r>
        <w:rPr>
          <w:rFonts w:ascii="Times New Roman" w:hAnsi="Times New Roman" w:cs="Times New Roman"/>
          <w:sz w:val="28"/>
          <w:szCs w:val="28"/>
          <w:lang w:val="be-BY"/>
        </w:rPr>
        <w:t>, с. 705]</w:t>
      </w:r>
      <w:r w:rsidRPr="003C026B">
        <w:rPr>
          <w:rFonts w:ascii="Times New Roman" w:hAnsi="Times New Roman" w:cs="Times New Roman"/>
          <w:sz w:val="28"/>
          <w:szCs w:val="28"/>
          <w:lang w:val="be-BY"/>
        </w:rPr>
        <w:t xml:space="preserve">. Сваё фунцыянальнае значэнне фартух не страціў да 1980-х гг. і насіўся жанчынамі падчас працы і ў хаце. Нярэдка яго выкарыстоўвалі ў якасці авоські: </w:t>
      </w:r>
      <w:r w:rsidRPr="0052113F">
        <w:rPr>
          <w:rFonts w:ascii="Times New Roman" w:hAnsi="Times New Roman" w:cs="Times New Roman"/>
          <w:i/>
          <w:sz w:val="28"/>
          <w:szCs w:val="28"/>
          <w:lang w:val="be-BY"/>
        </w:rPr>
        <w:t>Все ж у фартуховы носылы, за плэчы того фартуха быруть і нысуть. Баба Зофия вікы з тым фартухом ходыла за плычіма. Вжэ і сумкы булы, а вона все равно ходыла з ім</w:t>
      </w:r>
      <w:r w:rsidRPr="0097408C">
        <w:rPr>
          <w:rFonts w:ascii="Times New Roman" w:hAnsi="Times New Roman" w:cs="Times New Roman"/>
          <w:i/>
          <w:sz w:val="28"/>
          <w:szCs w:val="28"/>
        </w:rPr>
        <w:t xml:space="preserve"> </w:t>
      </w:r>
      <w:r w:rsidR="002320D7" w:rsidRPr="002320D7">
        <w:rPr>
          <w:rFonts w:ascii="Times New Roman" w:hAnsi="Times New Roman" w:cs="Times New Roman"/>
          <w:sz w:val="28"/>
          <w:szCs w:val="28"/>
          <w:lang w:val="be-BY"/>
        </w:rPr>
        <w:t>(</w:t>
      </w:r>
      <w:r w:rsidR="002320D7" w:rsidRPr="0097408C">
        <w:rPr>
          <w:rFonts w:ascii="Times New Roman" w:hAnsi="Times New Roman" w:cs="Times New Roman"/>
          <w:sz w:val="28"/>
          <w:szCs w:val="28"/>
        </w:rPr>
        <w:t>Левая В. Ц., 1950</w:t>
      </w:r>
      <w:r w:rsidR="002320D7" w:rsidRPr="002320D7">
        <w:rPr>
          <w:rFonts w:ascii="Times New Roman" w:hAnsi="Times New Roman" w:cs="Times New Roman"/>
          <w:sz w:val="28"/>
          <w:szCs w:val="28"/>
          <w:lang w:val="be-BY"/>
        </w:rPr>
        <w:t>)</w:t>
      </w:r>
      <w:r w:rsidR="002320D7" w:rsidRPr="0097408C">
        <w:rPr>
          <w:rFonts w:ascii="Times New Roman" w:hAnsi="Times New Roman" w:cs="Times New Roman"/>
          <w:i/>
          <w:sz w:val="28"/>
          <w:szCs w:val="28"/>
        </w:rPr>
        <w:t xml:space="preserve"> </w:t>
      </w:r>
      <w:r w:rsidRPr="0097408C">
        <w:rPr>
          <w:rFonts w:ascii="Times New Roman" w:hAnsi="Times New Roman" w:cs="Times New Roman"/>
          <w:sz w:val="28"/>
          <w:szCs w:val="28"/>
        </w:rPr>
        <w:t>[7]</w:t>
      </w:r>
      <w:r w:rsidRPr="003C026B">
        <w:rPr>
          <w:rFonts w:ascii="Times New Roman" w:hAnsi="Times New Roman" w:cs="Times New Roman"/>
          <w:sz w:val="28"/>
          <w:szCs w:val="28"/>
          <w:lang w:val="be-BY"/>
        </w:rPr>
        <w:t>.</w:t>
      </w:r>
    </w:p>
    <w:p w14:paraId="6D212282" w14:textId="1122A006"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У 1930-я гг. большасць старых замужніх жанчын у якасці галаўнога ўбору насіла </w:t>
      </w:r>
      <w:r w:rsidR="00C27C24">
        <w:rPr>
          <w:rFonts w:ascii="Times New Roman" w:hAnsi="Times New Roman" w:cs="Times New Roman"/>
          <w:sz w:val="28"/>
          <w:szCs w:val="28"/>
          <w:lang w:val="be-BY"/>
        </w:rPr>
        <w:t>“</w:t>
      </w:r>
      <w:r w:rsidRPr="003C026B">
        <w:rPr>
          <w:rFonts w:ascii="Times New Roman" w:hAnsi="Times New Roman" w:cs="Times New Roman"/>
          <w:sz w:val="28"/>
          <w:szCs w:val="28"/>
          <w:lang w:val="be-BY"/>
        </w:rPr>
        <w:t>наміткі</w:t>
      </w:r>
      <w:r w:rsidR="00C27C24">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(доўгае палотнішча з тонкай тканіны</w:t>
      </w:r>
      <w:r w:rsidR="00C27C24">
        <w:rPr>
          <w:rFonts w:ascii="Times New Roman" w:hAnsi="Times New Roman" w:cs="Times New Roman"/>
          <w:sz w:val="28"/>
          <w:szCs w:val="28"/>
          <w:lang w:val="be-BY"/>
        </w:rPr>
        <w:t xml:space="preserve"> – “</w:t>
      </w:r>
      <w:r w:rsidR="00C27C24" w:rsidRPr="00C27C24">
        <w:rPr>
          <w:rFonts w:ascii="Times New Roman" w:hAnsi="Times New Roman" w:cs="Times New Roman"/>
          <w:i/>
          <w:sz w:val="28"/>
          <w:szCs w:val="28"/>
          <w:lang w:val="be-BY"/>
        </w:rPr>
        <w:t>плат</w:t>
      </w:r>
      <w:r w:rsidR="00C27C24">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Традыцыя завівання </w:t>
      </w:r>
      <w:r w:rsidR="00C27C24">
        <w:rPr>
          <w:rFonts w:ascii="Times New Roman" w:hAnsi="Times New Roman" w:cs="Times New Roman"/>
          <w:sz w:val="28"/>
          <w:szCs w:val="28"/>
          <w:lang w:val="be-BY"/>
        </w:rPr>
        <w:t>“</w:t>
      </w:r>
      <w:r w:rsidRPr="00C27C24">
        <w:rPr>
          <w:rFonts w:ascii="Times New Roman" w:hAnsi="Times New Roman" w:cs="Times New Roman"/>
          <w:i/>
          <w:sz w:val="28"/>
          <w:szCs w:val="28"/>
          <w:lang w:val="be-BY"/>
        </w:rPr>
        <w:t>плата</w:t>
      </w:r>
      <w:r w:rsidR="00C27C24">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сустракаецца ў гэты перыяд рэдка, паколькі гэта было ўжо не зруч</w:t>
      </w:r>
      <w:r>
        <w:rPr>
          <w:rFonts w:ascii="Times New Roman" w:hAnsi="Times New Roman" w:cs="Times New Roman"/>
          <w:sz w:val="28"/>
          <w:szCs w:val="28"/>
          <w:lang w:val="be-BY"/>
        </w:rPr>
        <w:t>на і перавагу надавалі хусткам</w:t>
      </w:r>
      <w:r w:rsidRPr="0097408C">
        <w:rPr>
          <w:rFonts w:ascii="Times New Roman" w:hAnsi="Times New Roman" w:cs="Times New Roman"/>
          <w:sz w:val="28"/>
          <w:szCs w:val="28"/>
          <w:lang w:val="be-BY"/>
        </w:rPr>
        <w:t xml:space="preserve"> [9]</w:t>
      </w:r>
      <w:r w:rsidRPr="003C026B">
        <w:rPr>
          <w:rFonts w:ascii="Times New Roman" w:hAnsi="Times New Roman" w:cs="Times New Roman"/>
          <w:sz w:val="28"/>
          <w:szCs w:val="28"/>
          <w:lang w:val="be-BY"/>
        </w:rPr>
        <w:t>. Існавала спецыяльная тэхніка завівання: жанчына на галаву апранала чапец, паверх якога накладаўся разгорнуты плат так, каб шчыльна і акуратна быў ахоплены твар. Яго правы канец доўгім і роўным покрывам закрываў спіну, а левы, які быў складзены ў нешырокую кібалку, двойчы абыходзіў кругом шыі, абручыкам зробленым на канцы, накладаўся на галаву над прычоскай – “</w:t>
      </w:r>
      <w:r w:rsidRPr="00C27C24">
        <w:rPr>
          <w:rFonts w:ascii="Times New Roman" w:hAnsi="Times New Roman" w:cs="Times New Roman"/>
          <w:i/>
          <w:sz w:val="28"/>
          <w:szCs w:val="28"/>
          <w:lang w:val="be-BY"/>
        </w:rPr>
        <w:t>кохілем</w:t>
      </w:r>
      <w:r w:rsidRPr="003C026B">
        <w:rPr>
          <w:rFonts w:ascii="Times New Roman" w:hAnsi="Times New Roman" w:cs="Times New Roman"/>
          <w:sz w:val="28"/>
          <w:szCs w:val="28"/>
          <w:lang w:val="be-BY"/>
        </w:rPr>
        <w:t>”, дзе замацоўваўся шпількай, і насоўваўся да сярэдзіны ілба. Свабодную частку кібалкі прышпільвалі к</w:t>
      </w:r>
      <w:r>
        <w:rPr>
          <w:rFonts w:ascii="Times New Roman" w:hAnsi="Times New Roman" w:cs="Times New Roman"/>
          <w:sz w:val="28"/>
          <w:szCs w:val="28"/>
          <w:lang w:val="be-BY"/>
        </w:rPr>
        <w:t>аля левага пляча [</w:t>
      </w:r>
      <w:r w:rsidRPr="0097408C">
        <w:rPr>
          <w:rFonts w:ascii="Times New Roman" w:hAnsi="Times New Roman" w:cs="Times New Roman"/>
          <w:sz w:val="28"/>
          <w:szCs w:val="28"/>
          <w:lang w:val="be-BY"/>
        </w:rPr>
        <w:t>13</w:t>
      </w:r>
      <w:r>
        <w:rPr>
          <w:rFonts w:ascii="Times New Roman" w:hAnsi="Times New Roman" w:cs="Times New Roman"/>
          <w:sz w:val="28"/>
          <w:szCs w:val="28"/>
          <w:lang w:val="be-BY"/>
        </w:rPr>
        <w:t>, с. 706-707]</w:t>
      </w:r>
      <w:r w:rsidRPr="003C026B">
        <w:rPr>
          <w:rFonts w:ascii="Times New Roman" w:hAnsi="Times New Roman" w:cs="Times New Roman"/>
          <w:sz w:val="28"/>
          <w:szCs w:val="28"/>
          <w:lang w:val="be-BY"/>
        </w:rPr>
        <w:t>. У такім галаўным уборы жанчыны хадзілі ў царкву і на святы. Сама намітка маг</w:t>
      </w:r>
      <w:r>
        <w:rPr>
          <w:rFonts w:ascii="Times New Roman" w:hAnsi="Times New Roman" w:cs="Times New Roman"/>
          <w:sz w:val="28"/>
          <w:szCs w:val="28"/>
          <w:lang w:val="be-BY"/>
        </w:rPr>
        <w:t xml:space="preserve">ла аздабляцца </w:t>
      </w:r>
      <w:r w:rsidR="00C27C24">
        <w:rPr>
          <w:rFonts w:ascii="Times New Roman" w:hAnsi="Times New Roman" w:cs="Times New Roman"/>
          <w:sz w:val="28"/>
          <w:szCs w:val="28"/>
          <w:lang w:val="be-BY"/>
        </w:rPr>
        <w:t xml:space="preserve">арнаментам </w:t>
      </w:r>
      <w:r>
        <w:rPr>
          <w:rFonts w:ascii="Times New Roman" w:hAnsi="Times New Roman" w:cs="Times New Roman"/>
          <w:sz w:val="28"/>
          <w:szCs w:val="28"/>
          <w:lang w:val="be-BY"/>
        </w:rPr>
        <w:t>чырвон</w:t>
      </w:r>
      <w:r w:rsidR="00C27C24">
        <w:rPr>
          <w:rFonts w:ascii="Times New Roman" w:hAnsi="Times New Roman" w:cs="Times New Roman"/>
          <w:sz w:val="28"/>
          <w:szCs w:val="28"/>
          <w:lang w:val="be-BY"/>
        </w:rPr>
        <w:t>ага</w:t>
      </w:r>
      <w:r>
        <w:rPr>
          <w:rFonts w:ascii="Times New Roman" w:hAnsi="Times New Roman" w:cs="Times New Roman"/>
          <w:sz w:val="28"/>
          <w:szCs w:val="28"/>
          <w:lang w:val="be-BY"/>
        </w:rPr>
        <w:t xml:space="preserve"> колер</w:t>
      </w:r>
      <w:r w:rsidR="00C27C24">
        <w:rPr>
          <w:rFonts w:ascii="Times New Roman" w:hAnsi="Times New Roman" w:cs="Times New Roman"/>
          <w:sz w:val="28"/>
          <w:szCs w:val="28"/>
          <w:lang w:val="be-BY"/>
        </w:rPr>
        <w:t>у</w:t>
      </w:r>
      <w:r>
        <w:rPr>
          <w:rFonts w:ascii="Times New Roman" w:hAnsi="Times New Roman" w:cs="Times New Roman"/>
          <w:sz w:val="28"/>
          <w:szCs w:val="28"/>
          <w:lang w:val="be-BY"/>
        </w:rPr>
        <w:t xml:space="preserve"> </w:t>
      </w:r>
      <w:r w:rsidRPr="0097408C">
        <w:rPr>
          <w:rFonts w:ascii="Times New Roman" w:hAnsi="Times New Roman" w:cs="Times New Roman"/>
          <w:sz w:val="28"/>
          <w:szCs w:val="28"/>
          <w:lang w:val="be-BY"/>
        </w:rPr>
        <w:t>[1]</w:t>
      </w:r>
      <w:r w:rsidRPr="003C026B">
        <w:rPr>
          <w:rFonts w:ascii="Times New Roman" w:hAnsi="Times New Roman" w:cs="Times New Roman"/>
          <w:sz w:val="28"/>
          <w:szCs w:val="28"/>
          <w:lang w:val="be-BY"/>
        </w:rPr>
        <w:t>. У 1940-х гг. наміткі страцілі сваё значэнне і перасталі выкарыстоўвацца. Але засталася традыцыя нашэння чапца старымі жанчынамі, пад якім яны хавалі валасы. У ім жа жа</w:t>
      </w:r>
      <w:r>
        <w:rPr>
          <w:rFonts w:ascii="Times New Roman" w:hAnsi="Times New Roman" w:cs="Times New Roman"/>
          <w:sz w:val="28"/>
          <w:szCs w:val="28"/>
          <w:lang w:val="be-BY"/>
        </w:rPr>
        <w:t>нчыны маглі спаць</w:t>
      </w:r>
      <w:r w:rsidRPr="0097408C">
        <w:rPr>
          <w:rFonts w:ascii="Times New Roman" w:hAnsi="Times New Roman" w:cs="Times New Roman"/>
          <w:sz w:val="28"/>
          <w:szCs w:val="28"/>
          <w:lang w:val="be-BY"/>
        </w:rPr>
        <w:t xml:space="preserve"> [6]</w:t>
      </w:r>
      <w:r w:rsidRPr="003C026B">
        <w:rPr>
          <w:rFonts w:ascii="Times New Roman" w:hAnsi="Times New Roman" w:cs="Times New Roman"/>
          <w:sz w:val="28"/>
          <w:szCs w:val="28"/>
          <w:lang w:val="be-BY"/>
        </w:rPr>
        <w:t>.</w:t>
      </w:r>
      <w:r w:rsidR="00C27C24">
        <w:rPr>
          <w:rFonts w:ascii="Times New Roman" w:hAnsi="Times New Roman" w:cs="Times New Roman"/>
          <w:sz w:val="28"/>
          <w:szCs w:val="28"/>
          <w:lang w:val="be-BY"/>
        </w:rPr>
        <w:t xml:space="preserve"> </w:t>
      </w:r>
      <w:r w:rsidRPr="003C026B">
        <w:rPr>
          <w:rFonts w:ascii="Times New Roman" w:hAnsi="Times New Roman" w:cs="Times New Roman"/>
          <w:sz w:val="28"/>
          <w:szCs w:val="28"/>
          <w:lang w:val="be-BY"/>
        </w:rPr>
        <w:t xml:space="preserve">Але большая частка жанчын і малых дзяўчат насілі паркалёвыя і ільняныя хусткі. Гэта было характэрна для 30-х–40-х гг. ХХ ст. На свята іх крухмалілі, каб яны трымалі форму. Маладыя незамужнія дзяўчаткі рабілі завостраны выгіб над ілбом, а замужнія жанчыны два завостраныя выгіба – </w:t>
      </w:r>
      <w:r w:rsidRPr="0052113F">
        <w:rPr>
          <w:rFonts w:ascii="Times New Roman" w:hAnsi="Times New Roman" w:cs="Times New Roman"/>
          <w:i/>
          <w:sz w:val="28"/>
          <w:szCs w:val="28"/>
          <w:lang w:val="be-BY"/>
        </w:rPr>
        <w:t>“чубчыкы”</w:t>
      </w:r>
      <w:r w:rsidRPr="0097408C">
        <w:rPr>
          <w:rFonts w:eastAsiaTheme="majorEastAsia"/>
        </w:rPr>
        <w:t xml:space="preserve"> </w:t>
      </w:r>
      <w:r w:rsidRPr="0097408C">
        <w:rPr>
          <w:rFonts w:ascii="Times New Roman" w:hAnsi="Times New Roman" w:cs="Times New Roman"/>
          <w:sz w:val="28"/>
          <w:szCs w:val="28"/>
        </w:rPr>
        <w:t>[12]</w:t>
      </w:r>
      <w:r w:rsidRPr="003C026B">
        <w:rPr>
          <w:rFonts w:ascii="Times New Roman" w:hAnsi="Times New Roman" w:cs="Times New Roman"/>
          <w:sz w:val="28"/>
          <w:szCs w:val="28"/>
          <w:lang w:val="be-BY"/>
        </w:rPr>
        <w:t>.</w:t>
      </w:r>
    </w:p>
    <w:p w14:paraId="2B35BD61" w14:textId="457176CC"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Будзённым абуткам жанчыны ў 1930-я – 1940-я гг. служылі </w:t>
      </w:r>
      <w:r w:rsidR="0077046F">
        <w:rPr>
          <w:rFonts w:ascii="Times New Roman" w:hAnsi="Times New Roman" w:cs="Times New Roman"/>
          <w:sz w:val="28"/>
          <w:szCs w:val="28"/>
          <w:lang w:val="be-BY"/>
        </w:rPr>
        <w:t xml:space="preserve">лапці (мясцовая назва </w:t>
      </w:r>
      <w:r w:rsidR="003005D3">
        <w:rPr>
          <w:rFonts w:ascii="Times New Roman" w:hAnsi="Times New Roman" w:cs="Times New Roman"/>
          <w:sz w:val="28"/>
          <w:szCs w:val="28"/>
          <w:lang w:val="be-BY"/>
        </w:rPr>
        <w:t>“</w:t>
      </w:r>
      <w:r w:rsidRPr="003005D3">
        <w:rPr>
          <w:rFonts w:ascii="Times New Roman" w:hAnsi="Times New Roman" w:cs="Times New Roman"/>
          <w:i/>
          <w:sz w:val="28"/>
          <w:szCs w:val="28"/>
          <w:lang w:val="be-BY"/>
        </w:rPr>
        <w:t>пасталы</w:t>
      </w:r>
      <w:r w:rsidR="003005D3">
        <w:rPr>
          <w:rFonts w:ascii="Times New Roman" w:hAnsi="Times New Roman" w:cs="Times New Roman"/>
          <w:sz w:val="28"/>
          <w:szCs w:val="28"/>
          <w:lang w:val="be-BY"/>
        </w:rPr>
        <w:t>”</w:t>
      </w:r>
      <w:r w:rsidR="0077046F">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якія выраблялі са свежага лазовага лыка, надзёртага ў маі. Лазовыя палоскі перапляталі, у выніку чаго атрымоўвалася </w:t>
      </w:r>
      <w:r w:rsidRPr="0052113F">
        <w:rPr>
          <w:rFonts w:ascii="Times New Roman" w:hAnsi="Times New Roman" w:cs="Times New Roman"/>
          <w:i/>
          <w:sz w:val="28"/>
          <w:szCs w:val="28"/>
          <w:lang w:val="be-BY"/>
        </w:rPr>
        <w:t>“падошва”</w:t>
      </w:r>
      <w:r w:rsidRPr="003C026B">
        <w:rPr>
          <w:rFonts w:ascii="Times New Roman" w:hAnsi="Times New Roman" w:cs="Times New Roman"/>
          <w:sz w:val="28"/>
          <w:szCs w:val="28"/>
          <w:lang w:val="be-BY"/>
        </w:rPr>
        <w:t xml:space="preserve">. Да пасталоў прывязвалі спецыяльны шнурок, які называўся </w:t>
      </w:r>
      <w:r w:rsidRPr="0052113F">
        <w:rPr>
          <w:rFonts w:ascii="Times New Roman" w:hAnsi="Times New Roman" w:cs="Times New Roman"/>
          <w:i/>
          <w:sz w:val="28"/>
          <w:szCs w:val="28"/>
          <w:lang w:val="be-BY"/>
        </w:rPr>
        <w:t>“валокі”</w:t>
      </w:r>
      <w:r w:rsidRPr="003C026B">
        <w:rPr>
          <w:rFonts w:ascii="Times New Roman" w:hAnsi="Times New Roman" w:cs="Times New Roman"/>
          <w:sz w:val="28"/>
          <w:szCs w:val="28"/>
          <w:lang w:val="be-BY"/>
        </w:rPr>
        <w:t xml:space="preserve">. Перад тым, як накласці гэты абутак, неабходна было завіць на ногі палатняныя завоі. Ужо на сукно абувалі пасталы і валокамі замацоўвалі іх на нагах. У такім выглядзе нярэдка жанчыны хадзілі ў царкву і на святы: </w:t>
      </w:r>
      <w:r w:rsidRPr="0052113F">
        <w:rPr>
          <w:rFonts w:ascii="Times New Roman" w:hAnsi="Times New Roman" w:cs="Times New Roman"/>
          <w:i/>
          <w:sz w:val="28"/>
          <w:szCs w:val="28"/>
          <w:lang w:val="be-BY"/>
        </w:rPr>
        <w:t xml:space="preserve">Помыла ногы, завоі заб’е, колыся ходылы в цэркву, то біленькы зав’ють , </w:t>
      </w:r>
      <w:r w:rsidRPr="0052113F">
        <w:rPr>
          <w:rFonts w:ascii="Times New Roman" w:hAnsi="Times New Roman" w:cs="Times New Roman"/>
          <w:i/>
          <w:sz w:val="28"/>
          <w:szCs w:val="28"/>
          <w:lang w:val="be-BY"/>
        </w:rPr>
        <w:lastRenderedPageBreak/>
        <w:t>подвежуть і ідуть босынькы в цэркву</w:t>
      </w:r>
      <w:r w:rsidRPr="003C026B">
        <w:rPr>
          <w:rFonts w:ascii="Times New Roman" w:hAnsi="Times New Roman" w:cs="Times New Roman"/>
          <w:sz w:val="28"/>
          <w:szCs w:val="28"/>
          <w:lang w:val="be-BY"/>
        </w:rPr>
        <w:t xml:space="preserve"> </w:t>
      </w:r>
      <w:r w:rsidR="003005D3">
        <w:rPr>
          <w:rFonts w:ascii="Times New Roman" w:hAnsi="Times New Roman" w:cs="Times New Roman"/>
          <w:sz w:val="28"/>
          <w:szCs w:val="28"/>
          <w:lang w:val="be-BY"/>
        </w:rPr>
        <w:t>(</w:t>
      </w:r>
      <w:r w:rsidR="003005D3" w:rsidRPr="003005D3">
        <w:rPr>
          <w:rFonts w:ascii="Times New Roman" w:hAnsi="Times New Roman" w:cs="Times New Roman"/>
          <w:sz w:val="28"/>
          <w:szCs w:val="28"/>
          <w:lang w:val="be-BY"/>
        </w:rPr>
        <w:t>Шварко К. Ц.</w:t>
      </w:r>
      <w:r w:rsidR="003005D3">
        <w:rPr>
          <w:rFonts w:ascii="Times New Roman" w:hAnsi="Times New Roman" w:cs="Times New Roman"/>
          <w:sz w:val="28"/>
          <w:szCs w:val="28"/>
          <w:lang w:val="be-BY"/>
        </w:rPr>
        <w:t>, 1933)</w:t>
      </w:r>
      <w:r w:rsidR="003005D3" w:rsidRPr="003005D3">
        <w:rPr>
          <w:rFonts w:ascii="Times New Roman" w:hAnsi="Times New Roman" w:cs="Times New Roman"/>
          <w:sz w:val="28"/>
          <w:szCs w:val="28"/>
          <w:lang w:val="be-BY"/>
        </w:rPr>
        <w:t xml:space="preserve"> </w:t>
      </w:r>
      <w:r w:rsidRPr="003C026B">
        <w:rPr>
          <w:rFonts w:ascii="Times New Roman" w:hAnsi="Times New Roman" w:cs="Times New Roman"/>
          <w:sz w:val="28"/>
          <w:szCs w:val="28"/>
          <w:lang w:val="be-BY"/>
        </w:rPr>
        <w:t>[</w:t>
      </w:r>
      <w:r w:rsidRPr="0097408C">
        <w:rPr>
          <w:rFonts w:ascii="Times New Roman" w:hAnsi="Times New Roman" w:cs="Times New Roman"/>
          <w:sz w:val="28"/>
          <w:szCs w:val="28"/>
          <w:lang w:val="be-BY"/>
        </w:rPr>
        <w:t>9</w:t>
      </w:r>
      <w:r w:rsidRPr="003C026B">
        <w:rPr>
          <w:rFonts w:ascii="Times New Roman" w:hAnsi="Times New Roman" w:cs="Times New Roman"/>
          <w:sz w:val="28"/>
          <w:szCs w:val="28"/>
          <w:lang w:val="be-BY"/>
        </w:rPr>
        <w:t>]. За рэдкім выключэннем некаторыя жанчыны куплялі лёгкія боты (мясцовая назва “</w:t>
      </w:r>
      <w:r w:rsidRPr="003005D3">
        <w:rPr>
          <w:rFonts w:ascii="Times New Roman" w:hAnsi="Times New Roman" w:cs="Times New Roman"/>
          <w:i/>
          <w:sz w:val="28"/>
          <w:szCs w:val="28"/>
          <w:lang w:val="be-BY"/>
        </w:rPr>
        <w:t>чуні</w:t>
      </w:r>
      <w:r w:rsidRPr="003C026B">
        <w:rPr>
          <w:rFonts w:ascii="Times New Roman" w:hAnsi="Times New Roman" w:cs="Times New Roman"/>
          <w:sz w:val="28"/>
          <w:szCs w:val="28"/>
          <w:lang w:val="be-BY"/>
        </w:rPr>
        <w:t xml:space="preserve">”) ці чаравікі. Але фінансавую магчымасць набыць </w:t>
      </w:r>
      <w:r>
        <w:rPr>
          <w:rFonts w:ascii="Times New Roman" w:hAnsi="Times New Roman" w:cs="Times New Roman"/>
          <w:sz w:val="28"/>
          <w:szCs w:val="28"/>
          <w:lang w:val="be-BY"/>
        </w:rPr>
        <w:t xml:space="preserve">якасны абутак мелі не ўсе сем’і </w:t>
      </w:r>
      <w:r w:rsidRPr="0097408C">
        <w:rPr>
          <w:rFonts w:ascii="Times New Roman" w:hAnsi="Times New Roman" w:cs="Times New Roman"/>
          <w:sz w:val="28"/>
          <w:szCs w:val="28"/>
        </w:rPr>
        <w:t>[</w:t>
      </w:r>
      <w:r>
        <w:rPr>
          <w:rFonts w:ascii="Times New Roman" w:hAnsi="Times New Roman" w:cs="Times New Roman"/>
          <w:sz w:val="28"/>
          <w:szCs w:val="28"/>
        </w:rPr>
        <w:t>3</w:t>
      </w:r>
      <w:r w:rsidRPr="0097408C">
        <w:rPr>
          <w:rFonts w:ascii="Times New Roman" w:hAnsi="Times New Roman" w:cs="Times New Roman"/>
          <w:sz w:val="28"/>
          <w:szCs w:val="28"/>
        </w:rPr>
        <w:t>]</w:t>
      </w:r>
      <w:r w:rsidRPr="003C026B">
        <w:rPr>
          <w:rFonts w:ascii="Times New Roman" w:hAnsi="Times New Roman" w:cs="Times New Roman"/>
          <w:sz w:val="28"/>
          <w:szCs w:val="28"/>
          <w:lang w:val="be-BY"/>
        </w:rPr>
        <w:t>.</w:t>
      </w:r>
    </w:p>
    <w:p w14:paraId="47AEF84C" w14:textId="36785039"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Верхняе адзенне апраналі з наступленнем халадоў. Жанчыны і дзяўчаты насілі кажушкі ці, як называлі ў вёсцы, </w:t>
      </w:r>
      <w:r w:rsidRPr="0052113F">
        <w:rPr>
          <w:rFonts w:ascii="Times New Roman" w:hAnsi="Times New Roman" w:cs="Times New Roman"/>
          <w:i/>
          <w:sz w:val="28"/>
          <w:szCs w:val="28"/>
          <w:lang w:val="be-BY"/>
        </w:rPr>
        <w:t>“шкурлякы”</w:t>
      </w:r>
      <w:r w:rsidRPr="003C026B">
        <w:rPr>
          <w:rFonts w:ascii="Times New Roman" w:hAnsi="Times New Roman" w:cs="Times New Roman"/>
          <w:sz w:val="28"/>
          <w:szCs w:val="28"/>
          <w:lang w:val="be-BY"/>
        </w:rPr>
        <w:t xml:space="preserve"> з апрацаванай аўчыны. Спецыяльна шыліся невялікія цёплыя піджакі. Усё верхняе адзенне было не доўгім, у асноўным да сярэдзіны бядра. У выпадку моцных маразоў жанчыны насілі </w:t>
      </w:r>
      <w:r w:rsidR="0000464C">
        <w:rPr>
          <w:rFonts w:ascii="Times New Roman" w:hAnsi="Times New Roman" w:cs="Times New Roman"/>
          <w:sz w:val="28"/>
          <w:szCs w:val="28"/>
          <w:lang w:val="be-BY"/>
        </w:rPr>
        <w:t>латухі (</w:t>
      </w:r>
      <w:r w:rsidRPr="0052113F">
        <w:rPr>
          <w:rFonts w:ascii="Times New Roman" w:hAnsi="Times New Roman" w:cs="Times New Roman"/>
          <w:i/>
          <w:sz w:val="28"/>
          <w:szCs w:val="28"/>
          <w:lang w:val="be-BY"/>
        </w:rPr>
        <w:t>“латоші”</w:t>
      </w:r>
      <w:r w:rsidR="0000464C">
        <w:rPr>
          <w:rFonts w:ascii="Times New Roman" w:hAnsi="Times New Roman" w:cs="Times New Roman"/>
          <w:i/>
          <w:sz w:val="28"/>
          <w:szCs w:val="28"/>
          <w:lang w:val="be-BY"/>
        </w:rPr>
        <w:t>)</w:t>
      </w:r>
      <w:r w:rsidRPr="003C026B">
        <w:rPr>
          <w:rFonts w:ascii="Times New Roman" w:hAnsi="Times New Roman" w:cs="Times New Roman"/>
          <w:sz w:val="28"/>
          <w:szCs w:val="28"/>
          <w:lang w:val="be-BY"/>
        </w:rPr>
        <w:t xml:space="preserve"> – кароткую світку з сукна. У вёсцы латухі выраблялі з </w:t>
      </w:r>
      <w:r w:rsidRPr="0052113F">
        <w:rPr>
          <w:rFonts w:ascii="Times New Roman" w:hAnsi="Times New Roman" w:cs="Times New Roman"/>
          <w:i/>
          <w:sz w:val="28"/>
          <w:szCs w:val="28"/>
          <w:lang w:val="be-BY"/>
        </w:rPr>
        <w:t>“вусамі”</w:t>
      </w:r>
      <w:r w:rsidRPr="003C026B">
        <w:rPr>
          <w:rFonts w:ascii="Times New Roman" w:hAnsi="Times New Roman" w:cs="Times New Roman"/>
          <w:sz w:val="28"/>
          <w:szCs w:val="28"/>
          <w:lang w:val="be-BY"/>
        </w:rPr>
        <w:t xml:space="preserve"> (доўгія шнурочкі), ушытымі па баках ад таліі, на кацах якіх былі </w:t>
      </w:r>
      <w:r w:rsidRPr="0052113F">
        <w:rPr>
          <w:rFonts w:ascii="Times New Roman" w:hAnsi="Times New Roman" w:cs="Times New Roman"/>
          <w:i/>
          <w:sz w:val="28"/>
          <w:szCs w:val="28"/>
          <w:lang w:val="be-BY"/>
        </w:rPr>
        <w:t>“бобляшкы”</w:t>
      </w:r>
      <w:r w:rsidRPr="003C026B">
        <w:rPr>
          <w:rFonts w:ascii="Times New Roman" w:hAnsi="Times New Roman" w:cs="Times New Roman"/>
          <w:sz w:val="28"/>
          <w:szCs w:val="28"/>
          <w:lang w:val="be-BY"/>
        </w:rPr>
        <w:t xml:space="preserve"> (пампоны). Такія ўстаўкі выступалі ў якасці аздаблення верхняй вопраткі. </w:t>
      </w:r>
      <w:r w:rsidR="003005D3">
        <w:rPr>
          <w:rFonts w:ascii="Times New Roman" w:hAnsi="Times New Roman" w:cs="Times New Roman"/>
          <w:sz w:val="28"/>
          <w:szCs w:val="28"/>
          <w:lang w:val="be-BY"/>
        </w:rPr>
        <w:t>“</w:t>
      </w:r>
      <w:r w:rsidRPr="003005D3">
        <w:rPr>
          <w:rFonts w:ascii="Times New Roman" w:hAnsi="Times New Roman" w:cs="Times New Roman"/>
          <w:i/>
          <w:sz w:val="28"/>
          <w:szCs w:val="28"/>
          <w:lang w:val="be-BY"/>
        </w:rPr>
        <w:t>Лат</w:t>
      </w:r>
      <w:r w:rsidR="003005D3" w:rsidRPr="003005D3">
        <w:rPr>
          <w:rFonts w:ascii="Times New Roman" w:hAnsi="Times New Roman" w:cs="Times New Roman"/>
          <w:i/>
          <w:sz w:val="28"/>
          <w:szCs w:val="28"/>
          <w:lang w:val="be-BY"/>
        </w:rPr>
        <w:t>о</w:t>
      </w:r>
      <w:r w:rsidRPr="003005D3">
        <w:rPr>
          <w:rFonts w:ascii="Times New Roman" w:hAnsi="Times New Roman" w:cs="Times New Roman"/>
          <w:i/>
          <w:sz w:val="28"/>
          <w:szCs w:val="28"/>
          <w:lang w:val="be-BY"/>
        </w:rPr>
        <w:t>шы</w:t>
      </w:r>
      <w:r w:rsidR="003005D3">
        <w:rPr>
          <w:rFonts w:ascii="Times New Roman" w:hAnsi="Times New Roman" w:cs="Times New Roman"/>
          <w:sz w:val="28"/>
          <w:szCs w:val="28"/>
          <w:lang w:val="be-BY"/>
        </w:rPr>
        <w:t>”</w:t>
      </w:r>
      <w:r w:rsidRPr="003C026B">
        <w:rPr>
          <w:rFonts w:ascii="Times New Roman" w:hAnsi="Times New Roman" w:cs="Times New Roman"/>
          <w:sz w:val="28"/>
          <w:szCs w:val="28"/>
          <w:lang w:val="be-BY"/>
        </w:rPr>
        <w:t>, як і андаракі, страцілі сваё значэнне ў 1940-х гг. Пасля гэтага іх выкарыстоўвалі для касцюмаў падчас Каляд ці на вяселлі, дзе існавала жартаўлівая традыцыя пераапранання “у</w:t>
      </w:r>
      <w:r>
        <w:rPr>
          <w:rFonts w:ascii="Times New Roman" w:hAnsi="Times New Roman" w:cs="Times New Roman"/>
          <w:sz w:val="28"/>
          <w:szCs w:val="28"/>
          <w:lang w:val="be-BY"/>
        </w:rPr>
        <w:t xml:space="preserve"> цыганы” некаторых гасцей свята</w:t>
      </w:r>
      <w:r w:rsidRPr="0097408C">
        <w:rPr>
          <w:rFonts w:eastAsiaTheme="majorEastAsia"/>
          <w:lang w:val="be-BY"/>
        </w:rPr>
        <w:t xml:space="preserve"> </w:t>
      </w:r>
      <w:r w:rsidRPr="0097408C">
        <w:rPr>
          <w:rFonts w:ascii="Times New Roman" w:hAnsi="Times New Roman" w:cs="Times New Roman"/>
          <w:sz w:val="28"/>
          <w:szCs w:val="28"/>
          <w:lang w:val="be-BY"/>
        </w:rPr>
        <w:t>[8]</w:t>
      </w:r>
      <w:r w:rsidRPr="003C026B">
        <w:rPr>
          <w:rFonts w:ascii="Times New Roman" w:hAnsi="Times New Roman" w:cs="Times New Roman"/>
          <w:sz w:val="28"/>
          <w:szCs w:val="28"/>
          <w:lang w:val="be-BY"/>
        </w:rPr>
        <w:t>.</w:t>
      </w:r>
    </w:p>
    <w:p w14:paraId="1E784F15" w14:textId="097E7FB0"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У якасці галаўнога ўбору выступалі ваўняныя хусткі шэрага колеру. Яны выкарыстоўваліся жанчынамі на працягу 1930–1980-х гг. У некаторых дзяўчат былі ваўняныя шалікі. На ногі ў мароз апраналі валёнкі ці буркі, але не заўсёды ў жанчын яны былі. Часта прыходзілася насіць адну пару цё</w:t>
      </w:r>
      <w:r>
        <w:rPr>
          <w:rFonts w:ascii="Times New Roman" w:hAnsi="Times New Roman" w:cs="Times New Roman"/>
          <w:sz w:val="28"/>
          <w:szCs w:val="28"/>
          <w:lang w:val="be-BY"/>
        </w:rPr>
        <w:t>плага абутку ўсім членам сям’і</w:t>
      </w:r>
      <w:r w:rsidRPr="0097408C">
        <w:t xml:space="preserve"> </w:t>
      </w:r>
      <w:r w:rsidRPr="0097408C">
        <w:rPr>
          <w:rFonts w:ascii="Times New Roman" w:hAnsi="Times New Roman" w:cs="Times New Roman"/>
          <w:sz w:val="28"/>
          <w:szCs w:val="28"/>
        </w:rPr>
        <w:t>[7]</w:t>
      </w:r>
      <w:r w:rsidRPr="003C026B">
        <w:rPr>
          <w:rFonts w:ascii="Times New Roman" w:hAnsi="Times New Roman" w:cs="Times New Roman"/>
          <w:sz w:val="28"/>
          <w:szCs w:val="28"/>
          <w:lang w:val="be-BY"/>
        </w:rPr>
        <w:t xml:space="preserve">. </w:t>
      </w:r>
    </w:p>
    <w:p w14:paraId="7BD16275" w14:textId="27598C78"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У традыцыйным народным адзенні сельскай жанчыны ў другой палове 1940-х гг. пачалі адбывацца змены, на што паўплываў шэраг фактараў. Гэта было звязана з пераадоленнем пасляваеннай разрухі. Змены ва ўсіх сферах жыцця прывялі да пачатку новага этапу развіцця касцюма беларускага селяніна. Людзі сталі весці больш актыўны і дынамічны лад жыцця, што патрабавала практычнага і зручнага адзення, а народная вопратка ў сваёй большасці не адпавядала </w:t>
      </w:r>
      <w:r w:rsidR="0077046F">
        <w:rPr>
          <w:rFonts w:ascii="Times New Roman" w:hAnsi="Times New Roman" w:cs="Times New Roman"/>
          <w:sz w:val="28"/>
          <w:szCs w:val="28"/>
          <w:lang w:val="be-BY"/>
        </w:rPr>
        <w:t>тагачасным</w:t>
      </w:r>
      <w:r w:rsidRPr="003C026B">
        <w:rPr>
          <w:rFonts w:ascii="Times New Roman" w:hAnsi="Times New Roman" w:cs="Times New Roman"/>
          <w:sz w:val="28"/>
          <w:szCs w:val="28"/>
          <w:lang w:val="be-BY"/>
        </w:rPr>
        <w:t xml:space="preserve"> запытам у плане камфорту і функцыянальнасці. Пад уплывам калектывізацыі многія традыцыі і звычаі былі страчаны. Так, вясковае насельніцтва было занята </w:t>
      </w:r>
      <w:r w:rsidR="0077046F">
        <w:rPr>
          <w:rFonts w:ascii="Times New Roman" w:hAnsi="Times New Roman" w:cs="Times New Roman"/>
          <w:sz w:val="28"/>
          <w:szCs w:val="28"/>
          <w:lang w:val="be-BY"/>
        </w:rPr>
        <w:t>працай</w:t>
      </w:r>
      <w:r w:rsidRPr="003C026B">
        <w:rPr>
          <w:rFonts w:ascii="Times New Roman" w:hAnsi="Times New Roman" w:cs="Times New Roman"/>
          <w:sz w:val="28"/>
          <w:szCs w:val="28"/>
          <w:lang w:val="be-BY"/>
        </w:rPr>
        <w:t xml:space="preserve"> ў калгасе, з-за чаго стала менш часу ствараць сваю вопратку. Гэтыя абставіны прывялі да таго, што цяпер прасцей было купіць тканіну ці адразу гатовую вопратку ў горадзе. Гэтыя</w:t>
      </w:r>
      <w:r w:rsidR="0077046F">
        <w:rPr>
          <w:rFonts w:ascii="Times New Roman" w:hAnsi="Times New Roman" w:cs="Times New Roman"/>
          <w:sz w:val="28"/>
          <w:szCs w:val="28"/>
          <w:lang w:val="be-BY"/>
        </w:rPr>
        <w:t xml:space="preserve"> ж</w:t>
      </w:r>
      <w:r w:rsidRPr="003C026B">
        <w:rPr>
          <w:rFonts w:ascii="Times New Roman" w:hAnsi="Times New Roman" w:cs="Times New Roman"/>
          <w:sz w:val="28"/>
          <w:szCs w:val="28"/>
          <w:lang w:val="be-BY"/>
        </w:rPr>
        <w:t xml:space="preserve"> фактары прывялі да з’ўлення новых прадметаў адзення ў жаночым гардэробе. Шырока пачалі ўжывацца </w:t>
      </w:r>
      <w:r w:rsidR="0077046F">
        <w:rPr>
          <w:rFonts w:ascii="Times New Roman" w:hAnsi="Times New Roman" w:cs="Times New Roman"/>
          <w:sz w:val="28"/>
          <w:szCs w:val="28"/>
          <w:lang w:val="be-BY"/>
        </w:rPr>
        <w:t>жакеты (</w:t>
      </w:r>
      <w:r w:rsidRPr="0077046F">
        <w:rPr>
          <w:rFonts w:ascii="Times New Roman" w:hAnsi="Times New Roman" w:cs="Times New Roman"/>
          <w:i/>
          <w:sz w:val="28"/>
          <w:szCs w:val="28"/>
          <w:lang w:val="be-BY"/>
        </w:rPr>
        <w:t>пі</w:t>
      </w:r>
      <w:r w:rsidR="00BD1D65">
        <w:rPr>
          <w:rFonts w:ascii="Times New Roman" w:hAnsi="Times New Roman" w:cs="Times New Roman"/>
          <w:i/>
          <w:sz w:val="28"/>
          <w:szCs w:val="28"/>
          <w:lang w:val="be-BY"/>
        </w:rPr>
        <w:t>н</w:t>
      </w:r>
      <w:r w:rsidRPr="0077046F">
        <w:rPr>
          <w:rFonts w:ascii="Times New Roman" w:hAnsi="Times New Roman" w:cs="Times New Roman"/>
          <w:i/>
          <w:sz w:val="28"/>
          <w:szCs w:val="28"/>
          <w:lang w:val="be-BY"/>
        </w:rPr>
        <w:t>жакі</w:t>
      </w:r>
      <w:r w:rsidR="0077046F">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паркалёвыя сукенкі, швэдары (у вёсцы казалі </w:t>
      </w:r>
      <w:r w:rsidRPr="0052113F">
        <w:rPr>
          <w:rFonts w:ascii="Times New Roman" w:hAnsi="Times New Roman" w:cs="Times New Roman"/>
          <w:i/>
          <w:sz w:val="28"/>
          <w:szCs w:val="28"/>
          <w:lang w:val="be-BY"/>
        </w:rPr>
        <w:t>“свэдор”</w:t>
      </w:r>
      <w:r w:rsidRPr="003C026B">
        <w:rPr>
          <w:rFonts w:ascii="Times New Roman" w:hAnsi="Times New Roman" w:cs="Times New Roman"/>
          <w:sz w:val="28"/>
          <w:szCs w:val="28"/>
          <w:lang w:val="be-BY"/>
        </w:rPr>
        <w:t xml:space="preserve">), панчохі, большае распаўсюджанне сярод дзяўчат атрымалі чаравікі. </w:t>
      </w:r>
    </w:p>
    <w:p w14:paraId="2ABB1D9D" w14:textId="4162E995" w:rsidR="00CA4DAE" w:rsidRPr="0077046F"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Замужнія жанчыны адыходзяць ад традыцыі завівання плата і пераходзяць да больш зручнага галаўнога ўбору – хустак. Зімой дзяўчаты апраналі шапкі, якія часцей за ўсё куплялі ў горадзе: </w:t>
      </w:r>
      <w:r w:rsidRPr="0052113F">
        <w:rPr>
          <w:rFonts w:ascii="Times New Roman" w:hAnsi="Times New Roman" w:cs="Times New Roman"/>
          <w:i/>
          <w:sz w:val="28"/>
          <w:szCs w:val="28"/>
          <w:lang w:val="be-BY"/>
        </w:rPr>
        <w:t xml:space="preserve">Була фотографія. Мама купыла кролёву шапку. На мыні була біла вязана шапка, но то ны з </w:t>
      </w:r>
      <w:r w:rsidRPr="0077046F">
        <w:rPr>
          <w:rFonts w:ascii="Times New Roman" w:hAnsi="Times New Roman" w:cs="Times New Roman"/>
          <w:i/>
          <w:sz w:val="28"/>
          <w:szCs w:val="28"/>
          <w:lang w:val="be-BY"/>
        </w:rPr>
        <w:t>шэрсті. Кролёва</w:t>
      </w:r>
      <w:r w:rsidRPr="0097408C">
        <w:rPr>
          <w:rFonts w:ascii="Times New Roman" w:hAnsi="Times New Roman" w:cs="Times New Roman"/>
          <w:sz w:val="28"/>
          <w:szCs w:val="28"/>
          <w:lang w:val="be-BY"/>
        </w:rPr>
        <w:t xml:space="preserve"> </w:t>
      </w:r>
      <w:r w:rsidR="0077046F">
        <w:rPr>
          <w:rFonts w:ascii="Times New Roman" w:hAnsi="Times New Roman" w:cs="Times New Roman"/>
          <w:sz w:val="28"/>
          <w:szCs w:val="28"/>
          <w:lang w:val="be-BY"/>
        </w:rPr>
        <w:t>(</w:t>
      </w:r>
      <w:r w:rsidR="0077046F" w:rsidRPr="0097408C">
        <w:rPr>
          <w:rFonts w:ascii="Times New Roman" w:hAnsi="Times New Roman" w:cs="Times New Roman"/>
          <w:sz w:val="28"/>
          <w:szCs w:val="28"/>
          <w:lang w:val="be-BY"/>
        </w:rPr>
        <w:t>Левая С. А., 1926</w:t>
      </w:r>
      <w:r w:rsidR="0077046F">
        <w:rPr>
          <w:rFonts w:ascii="Times New Roman" w:hAnsi="Times New Roman" w:cs="Times New Roman"/>
          <w:sz w:val="28"/>
          <w:szCs w:val="28"/>
          <w:lang w:val="be-BY"/>
        </w:rPr>
        <w:t>)</w:t>
      </w:r>
      <w:r w:rsidR="0077046F" w:rsidRPr="0097408C">
        <w:rPr>
          <w:rFonts w:ascii="Times New Roman" w:hAnsi="Times New Roman" w:cs="Times New Roman"/>
          <w:sz w:val="28"/>
          <w:szCs w:val="28"/>
          <w:lang w:val="be-BY"/>
        </w:rPr>
        <w:t xml:space="preserve"> </w:t>
      </w:r>
      <w:r w:rsidRPr="0097408C">
        <w:rPr>
          <w:rFonts w:ascii="Times New Roman" w:hAnsi="Times New Roman" w:cs="Times New Roman"/>
          <w:sz w:val="28"/>
          <w:szCs w:val="28"/>
          <w:lang w:val="be-BY"/>
        </w:rPr>
        <w:t>[8]</w:t>
      </w:r>
      <w:r w:rsidR="0077046F">
        <w:rPr>
          <w:rFonts w:ascii="Times New Roman" w:hAnsi="Times New Roman" w:cs="Times New Roman"/>
          <w:sz w:val="28"/>
          <w:szCs w:val="28"/>
          <w:lang w:val="be-BY"/>
        </w:rPr>
        <w:t>.</w:t>
      </w:r>
    </w:p>
    <w:p w14:paraId="2EBC2D4B" w14:textId="22EE34B5"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lastRenderedPageBreak/>
        <w:t>Цяжкія андаракі з воўны перашкаджа</w:t>
      </w:r>
      <w:r w:rsidR="00BD1D65">
        <w:rPr>
          <w:rFonts w:ascii="Times New Roman" w:hAnsi="Times New Roman" w:cs="Times New Roman"/>
          <w:sz w:val="28"/>
          <w:szCs w:val="28"/>
          <w:lang w:val="be-BY"/>
        </w:rPr>
        <w:t>лі</w:t>
      </w:r>
      <w:r w:rsidRPr="003C026B">
        <w:rPr>
          <w:rFonts w:ascii="Times New Roman" w:hAnsi="Times New Roman" w:cs="Times New Roman"/>
          <w:sz w:val="28"/>
          <w:szCs w:val="28"/>
          <w:lang w:val="be-BY"/>
        </w:rPr>
        <w:t xml:space="preserve"> актыўнай дзейнасці дзяўчат з-за сваёй </w:t>
      </w:r>
      <w:r w:rsidR="00BD1D65">
        <w:rPr>
          <w:rFonts w:ascii="Times New Roman" w:hAnsi="Times New Roman" w:cs="Times New Roman"/>
          <w:sz w:val="28"/>
          <w:szCs w:val="28"/>
          <w:lang w:val="be-BY"/>
        </w:rPr>
        <w:t>вагі і нязручнасці</w:t>
      </w:r>
      <w:r w:rsidRPr="003C026B">
        <w:rPr>
          <w:rFonts w:ascii="Times New Roman" w:hAnsi="Times New Roman" w:cs="Times New Roman"/>
          <w:sz w:val="28"/>
          <w:szCs w:val="28"/>
          <w:lang w:val="be-BY"/>
        </w:rPr>
        <w:t xml:space="preserve">, таму на замену ім прыходзяць больш лёгкія спадніцы. Грамоздкае верхняе адзенне пачало замяняцца на купленыя кажушкі, якія былі зроблены </w:t>
      </w:r>
      <w:r>
        <w:rPr>
          <w:rFonts w:ascii="Times New Roman" w:hAnsi="Times New Roman" w:cs="Times New Roman"/>
          <w:sz w:val="28"/>
          <w:szCs w:val="28"/>
          <w:lang w:val="be-BY"/>
        </w:rPr>
        <w:t>больш акуратна, чым самаробныя</w:t>
      </w:r>
      <w:r w:rsidRPr="0097408C">
        <w:rPr>
          <w:rFonts w:eastAsiaTheme="majorEastAsia"/>
        </w:rPr>
        <w:t xml:space="preserve"> </w:t>
      </w:r>
      <w:r w:rsidRPr="0097408C">
        <w:rPr>
          <w:rFonts w:ascii="Times New Roman" w:hAnsi="Times New Roman" w:cs="Times New Roman"/>
          <w:sz w:val="28"/>
          <w:szCs w:val="28"/>
        </w:rPr>
        <w:t>[4]</w:t>
      </w:r>
      <w:r w:rsidRPr="003C026B">
        <w:rPr>
          <w:rFonts w:ascii="Times New Roman" w:hAnsi="Times New Roman" w:cs="Times New Roman"/>
          <w:sz w:val="28"/>
          <w:szCs w:val="28"/>
          <w:lang w:val="be-BY"/>
        </w:rPr>
        <w:t>.</w:t>
      </w:r>
    </w:p>
    <w:p w14:paraId="04226D3E" w14:textId="4175727B" w:rsidR="00CA4DAE" w:rsidRPr="0077046F"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Нягледзячы на змены ў жаночым адзенні, асноўным абуткам у 1950-я гг. заставаліся </w:t>
      </w:r>
      <w:r w:rsidR="0077046F">
        <w:rPr>
          <w:rFonts w:ascii="Times New Roman" w:hAnsi="Times New Roman" w:cs="Times New Roman"/>
          <w:sz w:val="28"/>
          <w:szCs w:val="28"/>
          <w:lang w:val="be-BY"/>
        </w:rPr>
        <w:t>“</w:t>
      </w:r>
      <w:r w:rsidRPr="0077046F">
        <w:rPr>
          <w:rFonts w:ascii="Times New Roman" w:hAnsi="Times New Roman" w:cs="Times New Roman"/>
          <w:i/>
          <w:sz w:val="28"/>
          <w:szCs w:val="28"/>
          <w:lang w:val="be-BY"/>
        </w:rPr>
        <w:t>пасталы</w:t>
      </w:r>
      <w:r w:rsidR="0077046F">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Яны служылі як </w:t>
      </w:r>
      <w:r w:rsidR="0077046F">
        <w:rPr>
          <w:rFonts w:ascii="Times New Roman" w:hAnsi="Times New Roman" w:cs="Times New Roman"/>
          <w:sz w:val="28"/>
          <w:szCs w:val="28"/>
          <w:lang w:val="be-BY"/>
        </w:rPr>
        <w:t>штодзённы</w:t>
      </w:r>
      <w:r w:rsidRPr="003C026B">
        <w:rPr>
          <w:rFonts w:ascii="Times New Roman" w:hAnsi="Times New Roman" w:cs="Times New Roman"/>
          <w:sz w:val="28"/>
          <w:szCs w:val="28"/>
          <w:lang w:val="be-BY"/>
        </w:rPr>
        <w:t xml:space="preserve"> абутак. На святы і ў царкву сяляне </w:t>
      </w:r>
      <w:r w:rsidR="0077046F" w:rsidRPr="003C026B">
        <w:rPr>
          <w:rFonts w:ascii="Times New Roman" w:hAnsi="Times New Roman" w:cs="Times New Roman"/>
          <w:sz w:val="28"/>
          <w:szCs w:val="28"/>
          <w:lang w:val="be-BY"/>
        </w:rPr>
        <w:t xml:space="preserve">ўжо </w:t>
      </w:r>
      <w:r w:rsidRPr="003C026B">
        <w:rPr>
          <w:rFonts w:ascii="Times New Roman" w:hAnsi="Times New Roman" w:cs="Times New Roman"/>
          <w:sz w:val="28"/>
          <w:szCs w:val="28"/>
          <w:lang w:val="be-BY"/>
        </w:rPr>
        <w:t xml:space="preserve">куплялі сандалі: </w:t>
      </w:r>
      <w:r w:rsidRPr="0052113F">
        <w:rPr>
          <w:rFonts w:ascii="Times New Roman" w:hAnsi="Times New Roman" w:cs="Times New Roman"/>
          <w:i/>
          <w:sz w:val="28"/>
          <w:szCs w:val="28"/>
          <w:lang w:val="be-BY"/>
        </w:rPr>
        <w:t xml:space="preserve">Вот колы йшлы до цэрквы, то йшлы босы. І коло вяза мама достае тряпку і начынаешь вытыраты ногы, дае новы носочкы і сандалі. Воны булы із кожы. Воны пахлы, і як обуеш і ідэш по росі, і так тэпло-тэпло. І вжэ дывышся на іх і кажэтся, шо ны в кого </w:t>
      </w:r>
      <w:r w:rsidRPr="0077046F">
        <w:rPr>
          <w:rFonts w:ascii="Times New Roman" w:hAnsi="Times New Roman" w:cs="Times New Roman"/>
          <w:i/>
          <w:sz w:val="28"/>
          <w:szCs w:val="28"/>
          <w:lang w:val="be-BY"/>
        </w:rPr>
        <w:t>такых хорошых ныма</w:t>
      </w:r>
      <w:r w:rsidRPr="0097408C">
        <w:rPr>
          <w:rFonts w:ascii="Times New Roman" w:hAnsi="Times New Roman" w:cs="Times New Roman"/>
          <w:sz w:val="28"/>
          <w:szCs w:val="28"/>
        </w:rPr>
        <w:t xml:space="preserve"> </w:t>
      </w:r>
      <w:r w:rsidR="0077046F">
        <w:rPr>
          <w:rFonts w:ascii="Times New Roman" w:hAnsi="Times New Roman" w:cs="Times New Roman"/>
          <w:sz w:val="28"/>
          <w:szCs w:val="28"/>
          <w:lang w:val="be-BY"/>
        </w:rPr>
        <w:t>(</w:t>
      </w:r>
      <w:r w:rsidR="0077046F" w:rsidRPr="0097408C">
        <w:rPr>
          <w:rFonts w:ascii="Times New Roman" w:hAnsi="Times New Roman" w:cs="Times New Roman"/>
          <w:sz w:val="28"/>
          <w:szCs w:val="28"/>
        </w:rPr>
        <w:t>Левая В. Ц., 1950</w:t>
      </w:r>
      <w:r w:rsidR="0077046F">
        <w:rPr>
          <w:rFonts w:ascii="Times New Roman" w:hAnsi="Times New Roman" w:cs="Times New Roman"/>
          <w:sz w:val="28"/>
          <w:szCs w:val="28"/>
          <w:lang w:val="be-BY"/>
        </w:rPr>
        <w:t>)</w:t>
      </w:r>
      <w:r w:rsidR="0077046F" w:rsidRPr="0097408C">
        <w:rPr>
          <w:rFonts w:ascii="Times New Roman" w:hAnsi="Times New Roman" w:cs="Times New Roman"/>
          <w:sz w:val="28"/>
          <w:szCs w:val="28"/>
        </w:rPr>
        <w:t xml:space="preserve"> </w:t>
      </w:r>
      <w:r w:rsidRPr="0097408C">
        <w:rPr>
          <w:rFonts w:ascii="Times New Roman" w:hAnsi="Times New Roman" w:cs="Times New Roman"/>
          <w:sz w:val="28"/>
          <w:szCs w:val="28"/>
        </w:rPr>
        <w:t>[7]</w:t>
      </w:r>
      <w:r w:rsidRPr="0077046F">
        <w:rPr>
          <w:rFonts w:ascii="Times New Roman" w:hAnsi="Times New Roman" w:cs="Times New Roman"/>
          <w:sz w:val="28"/>
          <w:szCs w:val="28"/>
          <w:lang w:val="be-BY"/>
        </w:rPr>
        <w:t xml:space="preserve">. </w:t>
      </w:r>
    </w:p>
    <w:p w14:paraId="37C59294" w14:textId="77777777" w:rsidR="00CA4DAE" w:rsidRPr="003C026B"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З матэрыялу, які набывалі ў горадзе, дзяўчаты шылі сукенкі і блузкі. Такое адзенне вылучалася сваёй афарбоўкай: тканіна была выраблена з кветкавым прынтам. Такія сукенкі маглі падвязвацца поясам. Дадаткова ў якасці аздаблення прышывал</w:t>
      </w:r>
      <w:r>
        <w:rPr>
          <w:rFonts w:ascii="Times New Roman" w:hAnsi="Times New Roman" w:cs="Times New Roman"/>
          <w:sz w:val="28"/>
          <w:szCs w:val="28"/>
          <w:lang w:val="be-BY"/>
        </w:rPr>
        <w:t xml:space="preserve">іся ляжачыя каўнерыкі </w:t>
      </w:r>
      <w:r w:rsidRPr="0097408C">
        <w:rPr>
          <w:rFonts w:ascii="Times New Roman" w:hAnsi="Times New Roman" w:cs="Times New Roman"/>
          <w:sz w:val="28"/>
          <w:szCs w:val="28"/>
          <w:lang w:val="be-BY"/>
        </w:rPr>
        <w:t>[11]</w:t>
      </w:r>
      <w:r w:rsidRPr="003C026B">
        <w:rPr>
          <w:rFonts w:ascii="Times New Roman" w:hAnsi="Times New Roman" w:cs="Times New Roman"/>
          <w:sz w:val="28"/>
          <w:szCs w:val="28"/>
          <w:lang w:val="be-BY"/>
        </w:rPr>
        <w:t>.</w:t>
      </w:r>
    </w:p>
    <w:p w14:paraId="3195144E" w14:textId="775B6354" w:rsidR="00CA4DAE" w:rsidRDefault="00CA4DAE" w:rsidP="00CA4DAE">
      <w:pPr>
        <w:spacing w:after="0" w:line="240" w:lineRule="auto"/>
        <w:ind w:firstLine="709"/>
        <w:jc w:val="both"/>
        <w:rPr>
          <w:rFonts w:ascii="Times New Roman" w:hAnsi="Times New Roman" w:cs="Times New Roman"/>
          <w:sz w:val="28"/>
          <w:szCs w:val="28"/>
          <w:lang w:val="be-BY"/>
        </w:rPr>
      </w:pPr>
      <w:r w:rsidRPr="003C026B">
        <w:rPr>
          <w:rFonts w:ascii="Times New Roman" w:hAnsi="Times New Roman" w:cs="Times New Roman"/>
          <w:sz w:val="28"/>
          <w:szCs w:val="28"/>
          <w:lang w:val="be-BY"/>
        </w:rPr>
        <w:t xml:space="preserve">Такім чынам, традыцыйны жаночы касцюм складаўся з сарочкі, спадніцы, фартуха, галаўнога ўбору, варыянтнасць якога залежыла ад узросту жанчыны, і абутку. У 1930–1940-я гг. адзенне было самаробным і шылася з ільнянога ці паркалёвага сукна, зімняя вопратка выраблялася з воўны. Асаблівая ўвага надавалася аздабленню вопраткі. Звычайна ўпрыгожваліся сарочка і фартух метадам вышыўкі крыжыкам ніткамі розных колераў (у большасці выкарыстоўваліся чорны, чырвоны колер). Значна не хапала добрага абутку ў адзначаны вышэй перыяд. Часцей за ўсё жанчыны насілі </w:t>
      </w:r>
      <w:r w:rsidR="0000464C">
        <w:rPr>
          <w:rFonts w:ascii="Times New Roman" w:hAnsi="Times New Roman" w:cs="Times New Roman"/>
          <w:sz w:val="28"/>
          <w:szCs w:val="28"/>
          <w:lang w:val="be-BY"/>
        </w:rPr>
        <w:t>“</w:t>
      </w:r>
      <w:r w:rsidRPr="0000464C">
        <w:rPr>
          <w:rFonts w:ascii="Times New Roman" w:hAnsi="Times New Roman" w:cs="Times New Roman"/>
          <w:i/>
          <w:sz w:val="28"/>
          <w:szCs w:val="28"/>
          <w:lang w:val="be-BY"/>
        </w:rPr>
        <w:t>пасталы</w:t>
      </w:r>
      <w:r w:rsidR="0000464C">
        <w:rPr>
          <w:rFonts w:ascii="Times New Roman" w:hAnsi="Times New Roman" w:cs="Times New Roman"/>
          <w:sz w:val="28"/>
          <w:szCs w:val="28"/>
          <w:lang w:val="be-BY"/>
        </w:rPr>
        <w:t>”</w:t>
      </w:r>
      <w:r w:rsidRPr="003C026B">
        <w:rPr>
          <w:rFonts w:ascii="Times New Roman" w:hAnsi="Times New Roman" w:cs="Times New Roman"/>
          <w:sz w:val="28"/>
          <w:szCs w:val="28"/>
          <w:lang w:val="be-BY"/>
        </w:rPr>
        <w:t xml:space="preserve"> з </w:t>
      </w:r>
      <w:r w:rsidR="0000464C">
        <w:rPr>
          <w:rFonts w:ascii="Times New Roman" w:hAnsi="Times New Roman" w:cs="Times New Roman"/>
          <w:sz w:val="28"/>
          <w:szCs w:val="28"/>
          <w:lang w:val="be-BY"/>
        </w:rPr>
        <w:t>“</w:t>
      </w:r>
      <w:r w:rsidRPr="0000464C">
        <w:rPr>
          <w:rFonts w:ascii="Times New Roman" w:hAnsi="Times New Roman" w:cs="Times New Roman"/>
          <w:i/>
          <w:sz w:val="28"/>
          <w:szCs w:val="28"/>
          <w:lang w:val="be-BY"/>
        </w:rPr>
        <w:t>завоям</w:t>
      </w:r>
      <w:r w:rsidRPr="003C026B">
        <w:rPr>
          <w:rFonts w:ascii="Times New Roman" w:hAnsi="Times New Roman" w:cs="Times New Roman"/>
          <w:sz w:val="28"/>
          <w:szCs w:val="28"/>
          <w:lang w:val="be-BY"/>
        </w:rPr>
        <w:t>і</w:t>
      </w:r>
      <w:r w:rsidR="0000464C">
        <w:rPr>
          <w:rFonts w:ascii="Times New Roman" w:hAnsi="Times New Roman" w:cs="Times New Roman"/>
          <w:sz w:val="28"/>
          <w:szCs w:val="28"/>
          <w:lang w:val="be-BY"/>
        </w:rPr>
        <w:t>”</w:t>
      </w:r>
      <w:r w:rsidRPr="003C026B">
        <w:rPr>
          <w:rFonts w:ascii="Times New Roman" w:hAnsi="Times New Roman" w:cs="Times New Roman"/>
          <w:sz w:val="28"/>
          <w:szCs w:val="28"/>
          <w:lang w:val="be-BY"/>
        </w:rPr>
        <w:t>, і толькі ў некаторых сем’ях была магчымасць набыць якасны абутак у горадзе. Зімняя вопратка выраблялася самастойна, але працэс выгатаўлення быў даволі складаным. З другой паловы 1940-х гг. шматлікія</w:t>
      </w:r>
      <w:r w:rsidR="0000464C">
        <w:rPr>
          <w:rFonts w:ascii="Times New Roman" w:hAnsi="Times New Roman" w:cs="Times New Roman"/>
          <w:sz w:val="28"/>
          <w:szCs w:val="28"/>
          <w:lang w:val="be-BY"/>
        </w:rPr>
        <w:t xml:space="preserve"> старадаўнія</w:t>
      </w:r>
      <w:r w:rsidRPr="003C026B">
        <w:rPr>
          <w:rFonts w:ascii="Times New Roman" w:hAnsi="Times New Roman" w:cs="Times New Roman"/>
          <w:sz w:val="28"/>
          <w:szCs w:val="28"/>
          <w:lang w:val="be-BY"/>
        </w:rPr>
        <w:t xml:space="preserve"> традыцыі ў жаночай вопратцы пач</w:t>
      </w:r>
      <w:r w:rsidR="0000464C">
        <w:rPr>
          <w:rFonts w:ascii="Times New Roman" w:hAnsi="Times New Roman" w:cs="Times New Roman"/>
          <w:sz w:val="28"/>
          <w:szCs w:val="28"/>
          <w:lang w:val="be-BY"/>
        </w:rPr>
        <w:t>ынаюць</w:t>
      </w:r>
      <w:r w:rsidRPr="003C026B">
        <w:rPr>
          <w:rFonts w:ascii="Times New Roman" w:hAnsi="Times New Roman" w:cs="Times New Roman"/>
          <w:sz w:val="28"/>
          <w:szCs w:val="28"/>
          <w:lang w:val="be-BY"/>
        </w:rPr>
        <w:t xml:space="preserve"> знікаць. Гэта было абумоўлена нязручнасцю адзення, недахопам вольнага часу сялян </w:t>
      </w:r>
      <w:r w:rsidR="0000464C">
        <w:rPr>
          <w:rFonts w:ascii="Times New Roman" w:hAnsi="Times New Roman" w:cs="Times New Roman"/>
          <w:sz w:val="28"/>
          <w:szCs w:val="28"/>
          <w:lang w:val="be-BY"/>
        </w:rPr>
        <w:t>з-за новых абавязкаў і</w:t>
      </w:r>
      <w:r w:rsidRPr="003C026B">
        <w:rPr>
          <w:rFonts w:ascii="Times New Roman" w:hAnsi="Times New Roman" w:cs="Times New Roman"/>
          <w:sz w:val="28"/>
          <w:szCs w:val="28"/>
          <w:lang w:val="be-BY"/>
        </w:rPr>
        <w:t xml:space="preserve"> працы у калгасе. Так, жанчыны ўвогуле перасталі выкарыстоўваць намітку, андаракі, латухі. На замену ільняным сарочкам прыходзяць баваўняныя блузкі і сукенкі, якія набываліся ў горадзе ці шыліся самастойна з пакупнога сукна. Пасталы </w:t>
      </w:r>
      <w:r w:rsidR="00BD1D65">
        <w:rPr>
          <w:rFonts w:ascii="Times New Roman" w:hAnsi="Times New Roman" w:cs="Times New Roman"/>
          <w:sz w:val="28"/>
          <w:szCs w:val="28"/>
          <w:lang w:val="be-BY"/>
        </w:rPr>
        <w:t>с</w:t>
      </w:r>
      <w:r w:rsidRPr="003C026B">
        <w:rPr>
          <w:rFonts w:ascii="Times New Roman" w:hAnsi="Times New Roman" w:cs="Times New Roman"/>
          <w:sz w:val="28"/>
          <w:szCs w:val="28"/>
          <w:lang w:val="be-BY"/>
        </w:rPr>
        <w:t>ыходзілі са штодзённага выкарыстання. З гэтага часу ўсё часцей жанчыны пачыналі набываць абутак у горадзе, які быў якаснее і выглядаў больш акуратна.</w:t>
      </w:r>
    </w:p>
    <w:p w14:paraId="3C73CE9B" w14:textId="4E3F4F89" w:rsidR="00CF78D3" w:rsidRDefault="00CF78D3" w:rsidP="005F0101">
      <w:pPr>
        <w:pStyle w:val="Standard"/>
        <w:ind w:firstLine="709"/>
        <w:jc w:val="both"/>
        <w:rPr>
          <w:rFonts w:ascii="Times New Roman" w:hAnsi="Times New Roman"/>
          <w:sz w:val="28"/>
          <w:szCs w:val="28"/>
          <w:lang w:val="be-BY"/>
        </w:rPr>
      </w:pPr>
    </w:p>
    <w:p w14:paraId="7AC57422" w14:textId="77777777" w:rsidR="006C67F2" w:rsidRPr="00296459" w:rsidRDefault="006C67F2" w:rsidP="005F0101">
      <w:pPr>
        <w:pStyle w:val="Standard"/>
        <w:ind w:firstLine="709"/>
        <w:jc w:val="both"/>
        <w:rPr>
          <w:rFonts w:ascii="Times New Roman" w:hAnsi="Times New Roman"/>
          <w:sz w:val="28"/>
          <w:szCs w:val="28"/>
          <w:lang w:val="be-BY"/>
        </w:rPr>
      </w:pPr>
    </w:p>
    <w:p w14:paraId="2838E847" w14:textId="27A8DF60" w:rsidR="00CA4DAE" w:rsidRPr="005A2C47" w:rsidRDefault="00CA4DAE" w:rsidP="00A62459">
      <w:pPr>
        <w:pStyle w:val="8"/>
      </w:pPr>
      <w:r w:rsidRPr="005A2C47">
        <w:t>Асабісты архіў аўтара. Інтэрв’ю з Дрык І. П., 19</w:t>
      </w:r>
      <w:r w:rsidR="00EC5EEB">
        <w:t>33</w:t>
      </w:r>
      <w:r w:rsidRPr="005A2C47">
        <w:t xml:space="preserve"> г. н. – Брэсцкая вобл., Кобрынскі р-н, в. Балоты, 2021.</w:t>
      </w:r>
    </w:p>
    <w:p w14:paraId="2A33B753" w14:textId="77777777" w:rsidR="00CA4DAE" w:rsidRPr="005A2C47" w:rsidRDefault="00CA4DAE" w:rsidP="00A62459">
      <w:pPr>
        <w:pStyle w:val="8"/>
      </w:pPr>
      <w:r w:rsidRPr="005A2C47">
        <w:t>Асабісты архіў аўтара. Інтэрв’ю з Ігнацюк М. Г., 1941 г. н. – Брэсцкая вобл., Кобрынскі р-н, в. Балоты, 2023.</w:t>
      </w:r>
    </w:p>
    <w:p w14:paraId="1D0CA23A" w14:textId="77777777" w:rsidR="00CA4DAE" w:rsidRPr="005A2C47" w:rsidRDefault="00CA4DAE" w:rsidP="00A62459">
      <w:pPr>
        <w:pStyle w:val="8"/>
      </w:pPr>
      <w:r w:rsidRPr="005A2C47">
        <w:lastRenderedPageBreak/>
        <w:t>Асабісты архіў аўтара. Інтэрв’ю з Ігнацюк П. С., 1937 г. н. – Брэсцкая вобл., Кобрынскі р-н, в. Балоты, 2022.</w:t>
      </w:r>
    </w:p>
    <w:p w14:paraId="08B851F5" w14:textId="77777777" w:rsidR="00CA4DAE" w:rsidRPr="005A2C47" w:rsidRDefault="00CA4DAE" w:rsidP="00A62459">
      <w:pPr>
        <w:pStyle w:val="8"/>
      </w:pPr>
      <w:r w:rsidRPr="005A2C47">
        <w:t>Асабісты архіў аўтара. Інтэрв’ю з Кіслюк Н. С., 1948 г. н. – Брэсцкая вобл., Кобрынскі р-н, в. Балоты, 2024.</w:t>
      </w:r>
    </w:p>
    <w:p w14:paraId="222CD10A" w14:textId="77777777" w:rsidR="00CA4DAE" w:rsidRPr="005A2C47" w:rsidRDefault="00CA4DAE" w:rsidP="00A62459">
      <w:pPr>
        <w:pStyle w:val="8"/>
      </w:pPr>
      <w:r w:rsidRPr="005A2C47">
        <w:t>Асабісты архіў аўтара. Інтэрв’ю з Клімук М. В., 1931 г. н. – Брэсцкая вобл., Кобрынскі р-н, в. Балоты, 2022.</w:t>
      </w:r>
    </w:p>
    <w:p w14:paraId="2C5C267B" w14:textId="77777777" w:rsidR="00CA4DAE" w:rsidRPr="005A2C47" w:rsidRDefault="00CA4DAE" w:rsidP="00A62459">
      <w:pPr>
        <w:pStyle w:val="8"/>
      </w:pPr>
      <w:r w:rsidRPr="005A2C47">
        <w:t>Асабісты архіў аўтара. Інтэрв’ю з Курышка А. М., 1931 г. н. – Брэсцкая вобл., Кобрынскі р-н, в. Балоты, 2022.</w:t>
      </w:r>
    </w:p>
    <w:p w14:paraId="663CF8D9" w14:textId="77777777" w:rsidR="00CA4DAE" w:rsidRPr="005A2C47" w:rsidRDefault="00CA4DAE" w:rsidP="00A62459">
      <w:pPr>
        <w:pStyle w:val="8"/>
      </w:pPr>
      <w:r w:rsidRPr="005A2C47">
        <w:t>Асабісты архіў аўтара. Інтэрв’ю з Левая В. Ц., 1950 г. н. – Брэсцкая вобл., Кобрынскі р-н, в. Балоты, 2023.</w:t>
      </w:r>
    </w:p>
    <w:p w14:paraId="4C239790" w14:textId="77777777" w:rsidR="00CA4DAE" w:rsidRPr="005A2C47" w:rsidRDefault="00CA4DAE" w:rsidP="00A62459">
      <w:pPr>
        <w:pStyle w:val="8"/>
      </w:pPr>
      <w:r w:rsidRPr="005A2C47">
        <w:t>Асабісты архіў аўтара. Інтэрв’ю з Левая С. А., 1926 г. н. – Брэсцкая вобл., Кобрынскі р-н, в. Балоты, 2022.</w:t>
      </w:r>
    </w:p>
    <w:p w14:paraId="0C7A5D63" w14:textId="77777777" w:rsidR="00CA4DAE" w:rsidRPr="005A2C47" w:rsidRDefault="00CA4DAE" w:rsidP="00A62459">
      <w:pPr>
        <w:pStyle w:val="8"/>
      </w:pPr>
      <w:r w:rsidRPr="005A2C47">
        <w:t>Асабісты архіў аўтара. Інтэрв’ю з Шварко К. Ц., 1933 г. н. – Брэсцкая вобл., Кобрынскі р-н, в. Балоты, 2022.</w:t>
      </w:r>
    </w:p>
    <w:p w14:paraId="4D5D4BEC" w14:textId="77777777" w:rsidR="00CA4DAE" w:rsidRPr="005A2C47" w:rsidRDefault="00CA4DAE" w:rsidP="00A62459">
      <w:pPr>
        <w:pStyle w:val="8"/>
      </w:pPr>
      <w:r w:rsidRPr="005A2C47">
        <w:t>Асабісты архіў аўтара. Палявы дзённік А.А. Ігнацюк за 2022 палявы сезон. – Брэсцкая вобл., Кобрынскі р-н, 2022.</w:t>
      </w:r>
    </w:p>
    <w:p w14:paraId="0F3675FA" w14:textId="77777777" w:rsidR="00CA4DAE" w:rsidRPr="005A2C47" w:rsidRDefault="00CA4DAE" w:rsidP="00A62459">
      <w:pPr>
        <w:pStyle w:val="8"/>
      </w:pPr>
      <w:r w:rsidRPr="005A2C47">
        <w:t>Асабісты архіў аўтара. Фотаздымак 1950-х гг.</w:t>
      </w:r>
    </w:p>
    <w:p w14:paraId="3758B81C" w14:textId="77777777" w:rsidR="00CA4DAE" w:rsidRPr="005A2C47" w:rsidRDefault="00CA4DAE" w:rsidP="00A62459">
      <w:pPr>
        <w:pStyle w:val="8"/>
      </w:pPr>
      <w:r w:rsidRPr="005A2C47">
        <w:t>Кобрынскія балацюкі [Відэазапіс] / аўтар праекта Рэгіна Гамзовіч, рэжысёр Святлана Слабейка ; т/п “Радавод, 2000.</w:t>
      </w:r>
    </w:p>
    <w:p w14:paraId="619BDE2A" w14:textId="77777777" w:rsidR="00CA4DAE" w:rsidRPr="005A2C47" w:rsidRDefault="00CA4DAE" w:rsidP="00A62459">
      <w:pPr>
        <w:pStyle w:val="8"/>
      </w:pPr>
      <w:r w:rsidRPr="005A2C47">
        <w:t>Традыцыйная мастацкая культура беларусаў. У 6 т. Т. 4. Брэсцкае Палессе. Кн. 2 / А. М. Боганева [і інш.]; ідэя і агульнае рэдагаванне Т.Б. Варфаламеевай. — Мінск: Выш. шк., 2009 г. — 863 с.</w:t>
      </w:r>
    </w:p>
    <w:p w14:paraId="6C9D12AF" w14:textId="77777777" w:rsidR="0082440F" w:rsidRPr="00792117" w:rsidRDefault="0082440F" w:rsidP="00E25B19">
      <w:pPr>
        <w:pStyle w:val="Standard"/>
        <w:ind w:firstLine="709"/>
        <w:jc w:val="both"/>
        <w:rPr>
          <w:rFonts w:ascii="Times New Roman" w:hAnsi="Times New Roman" w:cs="Times New Roman"/>
          <w:sz w:val="28"/>
          <w:szCs w:val="28"/>
          <w:lang w:val="be-BY"/>
        </w:rPr>
      </w:pPr>
    </w:p>
    <w:p w14:paraId="60E2AE58" w14:textId="159D472D" w:rsidR="00B40577" w:rsidRPr="009D63FE" w:rsidRDefault="000C69B3" w:rsidP="00E25B19">
      <w:pPr>
        <w:pStyle w:val="Standard"/>
        <w:jc w:val="center"/>
        <w:rPr>
          <w:i/>
          <w:lang w:val="be-BY"/>
        </w:rPr>
      </w:pPr>
      <w:hyperlink w:anchor="_СОДЕРЖАНИЕ" w:history="1">
        <w:r w:rsidR="0082440F" w:rsidRPr="009D63FE">
          <w:rPr>
            <w:rStyle w:val="a9"/>
            <w:rFonts w:ascii="Times New Roman" w:hAnsi="Times New Roman" w:cs="Times New Roman"/>
            <w:i/>
            <w:color w:val="auto"/>
            <w:sz w:val="28"/>
            <w:szCs w:val="28"/>
            <w:u w:val="none"/>
            <w:lang w:val="be-BY"/>
          </w:rPr>
          <w:t>К содержанию</w:t>
        </w:r>
      </w:hyperlink>
    </w:p>
    <w:p w14:paraId="631884A2" w14:textId="345BB866" w:rsidR="009D63FE" w:rsidRDefault="009D63FE" w:rsidP="002B1B00">
      <w:pPr>
        <w:spacing w:after="0" w:line="240" w:lineRule="auto"/>
        <w:rPr>
          <w:rFonts w:ascii="Times New Roman" w:hAnsi="Times New Roman" w:cs="Times New Roman"/>
          <w:sz w:val="28"/>
          <w:lang w:val="be-BY"/>
        </w:rPr>
      </w:pPr>
    </w:p>
    <w:p w14:paraId="4CC22180" w14:textId="77777777" w:rsidR="009D63FE" w:rsidRDefault="009D63FE" w:rsidP="00E25B19">
      <w:pPr>
        <w:spacing w:after="0" w:line="240" w:lineRule="auto"/>
        <w:ind w:firstLine="709"/>
        <w:rPr>
          <w:rFonts w:ascii="Times New Roman" w:hAnsi="Times New Roman" w:cs="Times New Roman"/>
          <w:sz w:val="28"/>
          <w:lang w:val="be-BY"/>
        </w:rPr>
      </w:pPr>
    </w:p>
    <w:p w14:paraId="41BF630A" w14:textId="77777777" w:rsidR="00F32EA2" w:rsidRDefault="00F32EA2" w:rsidP="00E25B19">
      <w:pPr>
        <w:spacing w:after="0" w:line="240" w:lineRule="auto"/>
        <w:ind w:firstLine="709"/>
        <w:rPr>
          <w:rFonts w:ascii="Times New Roman" w:hAnsi="Times New Roman" w:cs="Times New Roman"/>
          <w:sz w:val="28"/>
          <w:lang w:val="be-BY"/>
        </w:rPr>
      </w:pPr>
    </w:p>
    <w:p w14:paraId="73476006" w14:textId="762E52F9" w:rsidR="00B40577" w:rsidRPr="00792117" w:rsidRDefault="00B40577" w:rsidP="00E25B19">
      <w:pPr>
        <w:spacing w:after="0" w:line="240" w:lineRule="auto"/>
        <w:ind w:firstLine="709"/>
        <w:rPr>
          <w:rFonts w:ascii="Times New Roman" w:hAnsi="Times New Roman" w:cs="Times New Roman"/>
          <w:sz w:val="28"/>
          <w:lang w:val="be-BY"/>
        </w:rPr>
      </w:pPr>
      <w:r w:rsidRPr="00EC5EEB">
        <w:rPr>
          <w:rFonts w:ascii="Times New Roman" w:hAnsi="Times New Roman" w:cs="Times New Roman"/>
          <w:sz w:val="28"/>
          <w:lang w:val="be-BY"/>
        </w:rPr>
        <w:t>УДК</w:t>
      </w:r>
      <w:r w:rsidR="008A651F" w:rsidRPr="00EC5EEB">
        <w:rPr>
          <w:rFonts w:ascii="Times New Roman" w:hAnsi="Times New Roman" w:cs="Times New Roman"/>
          <w:sz w:val="28"/>
          <w:lang w:val="be-BY"/>
        </w:rPr>
        <w:t xml:space="preserve"> 745.52(476.7)</w:t>
      </w:r>
    </w:p>
    <w:p w14:paraId="598F8EF6" w14:textId="4F971DC0" w:rsidR="005A4D1F" w:rsidRPr="009F7626" w:rsidRDefault="00A62459" w:rsidP="009F7626">
      <w:pPr>
        <w:pStyle w:val="14"/>
      </w:pPr>
      <w:bookmarkStart w:id="22" w:name="_М.В._ТКАЧЁВА"/>
      <w:bookmarkStart w:id="23" w:name="_В.В._КАНАНОВІЧ"/>
      <w:bookmarkStart w:id="24" w:name="_Toc151514630"/>
      <w:bookmarkStart w:id="25" w:name="_Toc181881105"/>
      <w:bookmarkStart w:id="26" w:name="_Toc181884601"/>
      <w:bookmarkStart w:id="27" w:name="_Toc181894093"/>
      <w:bookmarkEnd w:id="22"/>
      <w:bookmarkEnd w:id="23"/>
      <w:r w:rsidRPr="009F7626">
        <w:t>Д.Ю. Юрковіч</w:t>
      </w:r>
      <w:bookmarkEnd w:id="24"/>
      <w:bookmarkEnd w:id="25"/>
      <w:bookmarkEnd w:id="26"/>
      <w:bookmarkEnd w:id="27"/>
    </w:p>
    <w:p w14:paraId="1C814394" w14:textId="77777777" w:rsidR="00A62459" w:rsidRPr="00F7633C" w:rsidRDefault="00A62459" w:rsidP="00A62459">
      <w:pPr>
        <w:pStyle w:val="3"/>
        <w:rPr>
          <w:lang w:val="be-BY"/>
        </w:rPr>
      </w:pPr>
      <w:r w:rsidRPr="0097408C">
        <w:rPr>
          <w:lang w:val="be-BY"/>
        </w:rPr>
        <w:t>Брэст, БрДУ ім. А.С. Пушкін</w:t>
      </w:r>
    </w:p>
    <w:p w14:paraId="50CF2302" w14:textId="77777777" w:rsidR="00227AE6" w:rsidRPr="00F7633C" w:rsidRDefault="00227AE6" w:rsidP="00227AE6">
      <w:pPr>
        <w:pStyle w:val="4"/>
      </w:pPr>
      <w:r w:rsidRPr="0097408C">
        <w:t>Навуковы кіра</w:t>
      </w:r>
      <w:r>
        <w:t>ўнік</w:t>
      </w:r>
      <w:r w:rsidRPr="005F0101">
        <w:t xml:space="preserve"> – </w:t>
      </w:r>
      <w:r w:rsidRPr="0097408C">
        <w:t>В</w:t>
      </w:r>
      <w:r w:rsidRPr="005F0101">
        <w:t>.</w:t>
      </w:r>
      <w:r w:rsidRPr="0097408C">
        <w:t xml:space="preserve"> Ю</w:t>
      </w:r>
      <w:r w:rsidRPr="005F0101">
        <w:t xml:space="preserve">. </w:t>
      </w:r>
      <w:r w:rsidRPr="0097408C">
        <w:t>П</w:t>
      </w:r>
      <w:r>
        <w:t>іліповіч</w:t>
      </w:r>
      <w:r w:rsidRPr="005F0101">
        <w:t xml:space="preserve">, </w:t>
      </w:r>
      <w:r w:rsidRPr="00CA4DAE">
        <w:t>старшы выкладчык</w:t>
      </w:r>
    </w:p>
    <w:p w14:paraId="1636E9D6" w14:textId="77777777" w:rsidR="00B40577" w:rsidRPr="00CC0B6B" w:rsidRDefault="00B40577" w:rsidP="00E25B19">
      <w:pPr>
        <w:spacing w:after="0" w:line="240" w:lineRule="auto"/>
        <w:ind w:firstLine="709"/>
        <w:rPr>
          <w:rFonts w:ascii="Times New Roman" w:hAnsi="Times New Roman" w:cs="Times New Roman"/>
          <w:i/>
          <w:sz w:val="28"/>
          <w:lang w:val="be-BY"/>
        </w:rPr>
      </w:pPr>
    </w:p>
    <w:p w14:paraId="53B5705C" w14:textId="5D1249BA" w:rsidR="00B40577" w:rsidRPr="00CC0B6B" w:rsidRDefault="00A62459" w:rsidP="00E25B19">
      <w:pPr>
        <w:spacing w:after="0" w:line="240" w:lineRule="auto"/>
        <w:ind w:left="708" w:firstLine="1"/>
        <w:rPr>
          <w:rFonts w:ascii="Times New Roman" w:hAnsi="Times New Roman" w:cs="Times New Roman"/>
          <w:b/>
          <w:sz w:val="28"/>
          <w:lang w:val="be-BY"/>
        </w:rPr>
      </w:pPr>
      <w:r w:rsidRPr="00A62459">
        <w:rPr>
          <w:rFonts w:ascii="Times New Roman" w:hAnsi="Times New Roman" w:cs="Times New Roman"/>
          <w:b/>
          <w:sz w:val="28"/>
          <w:lang w:val="be-BY"/>
        </w:rPr>
        <w:t>ДА ПЫТАННЯ АБ ДАСЛЕДАВАННЯХ ТРАДЫЦЫЙНАГА І СУЧАСНАГА ТКАЦТВА БЯРОЗАЎШЧЫНЫ</w:t>
      </w:r>
    </w:p>
    <w:p w14:paraId="72A46D68" w14:textId="77777777" w:rsidR="00B40577" w:rsidRPr="00CC0B6B" w:rsidRDefault="00B40577" w:rsidP="00E25B19">
      <w:pPr>
        <w:spacing w:after="0" w:line="240" w:lineRule="auto"/>
        <w:ind w:firstLine="709"/>
        <w:rPr>
          <w:rFonts w:ascii="Times New Roman" w:hAnsi="Times New Roman" w:cs="Times New Roman"/>
          <w:sz w:val="28"/>
          <w:lang w:val="be-BY"/>
        </w:rPr>
      </w:pPr>
    </w:p>
    <w:p w14:paraId="290635E1" w14:textId="17D28956" w:rsidR="00B40577" w:rsidRPr="00CC0B6B" w:rsidRDefault="00A62459" w:rsidP="00E25B19">
      <w:pPr>
        <w:spacing w:after="0" w:line="240" w:lineRule="auto"/>
        <w:ind w:firstLine="709"/>
        <w:jc w:val="both"/>
        <w:rPr>
          <w:rFonts w:ascii="Times New Roman" w:hAnsi="Times New Roman" w:cs="Times New Roman"/>
          <w:i/>
          <w:sz w:val="24"/>
          <w:szCs w:val="28"/>
          <w:lang w:val="be-BY"/>
        </w:rPr>
      </w:pPr>
      <w:r w:rsidRPr="00A62459">
        <w:rPr>
          <w:rFonts w:ascii="Times New Roman" w:hAnsi="Times New Roman" w:cs="Times New Roman"/>
          <w:i/>
          <w:sz w:val="24"/>
          <w:szCs w:val="28"/>
          <w:lang w:val="be-BY"/>
        </w:rPr>
        <w:t xml:space="preserve">У артыкуле робіцца спроба агляду асноўных этапаў вывучэння ткацтва на тэрыторыі Бярозаўскага раёна праз прызму ўжо вядомых навуковых даследаванняў. </w:t>
      </w:r>
      <w:r w:rsidR="00836792">
        <w:rPr>
          <w:rFonts w:ascii="Times New Roman" w:hAnsi="Times New Roman" w:cs="Times New Roman"/>
          <w:i/>
          <w:sz w:val="24"/>
          <w:szCs w:val="28"/>
          <w:lang w:val="be-BY"/>
        </w:rPr>
        <w:t>К</w:t>
      </w:r>
      <w:r w:rsidRPr="00A62459">
        <w:rPr>
          <w:rFonts w:ascii="Times New Roman" w:hAnsi="Times New Roman" w:cs="Times New Roman"/>
          <w:i/>
          <w:sz w:val="24"/>
          <w:szCs w:val="28"/>
          <w:lang w:val="be-BY"/>
        </w:rPr>
        <w:t xml:space="preserve">анстатуецца, што толькі на </w:t>
      </w:r>
      <w:r w:rsidR="00836792">
        <w:rPr>
          <w:rFonts w:ascii="Times New Roman" w:hAnsi="Times New Roman" w:cs="Times New Roman"/>
          <w:i/>
          <w:sz w:val="24"/>
          <w:szCs w:val="28"/>
          <w:lang w:val="be-BY"/>
        </w:rPr>
        <w:t>апошніх</w:t>
      </w:r>
      <w:r w:rsidRPr="00A62459">
        <w:rPr>
          <w:rFonts w:ascii="Times New Roman" w:hAnsi="Times New Roman" w:cs="Times New Roman"/>
          <w:i/>
          <w:sz w:val="24"/>
          <w:szCs w:val="28"/>
          <w:lang w:val="be-BY"/>
        </w:rPr>
        <w:t xml:space="preserve"> этап</w:t>
      </w:r>
      <w:r w:rsidR="00836792">
        <w:rPr>
          <w:rFonts w:ascii="Times New Roman" w:hAnsi="Times New Roman" w:cs="Times New Roman"/>
          <w:i/>
          <w:sz w:val="24"/>
          <w:szCs w:val="28"/>
          <w:lang w:val="be-BY"/>
        </w:rPr>
        <w:t>ах</w:t>
      </w:r>
      <w:r w:rsidRPr="00A62459">
        <w:rPr>
          <w:rFonts w:ascii="Times New Roman" w:hAnsi="Times New Roman" w:cs="Times New Roman"/>
          <w:i/>
          <w:sz w:val="24"/>
          <w:szCs w:val="28"/>
          <w:lang w:val="be-BY"/>
        </w:rPr>
        <w:t xml:space="preserve"> вывучэнн</w:t>
      </w:r>
      <w:r w:rsidR="00EC5EEB">
        <w:rPr>
          <w:rFonts w:ascii="Times New Roman" w:hAnsi="Times New Roman" w:cs="Times New Roman"/>
          <w:i/>
          <w:sz w:val="24"/>
          <w:szCs w:val="28"/>
          <w:lang w:val="be-BY"/>
        </w:rPr>
        <w:t>я</w:t>
      </w:r>
      <w:r w:rsidRPr="00A62459">
        <w:rPr>
          <w:rFonts w:ascii="Times New Roman" w:hAnsi="Times New Roman" w:cs="Times New Roman"/>
          <w:i/>
          <w:sz w:val="24"/>
          <w:szCs w:val="28"/>
          <w:lang w:val="be-BY"/>
        </w:rPr>
        <w:t xml:space="preserve"> пачынаюцца з’яўляцца першыя сур’ёзныя спробы збору інфармацыі</w:t>
      </w:r>
      <w:r w:rsidR="00836792">
        <w:rPr>
          <w:rFonts w:ascii="Times New Roman" w:hAnsi="Times New Roman" w:cs="Times New Roman"/>
          <w:i/>
          <w:sz w:val="24"/>
          <w:szCs w:val="28"/>
          <w:lang w:val="be-BY"/>
        </w:rPr>
        <w:t>,</w:t>
      </w:r>
      <w:r w:rsidRPr="00A62459">
        <w:rPr>
          <w:rFonts w:ascii="Times New Roman" w:hAnsi="Times New Roman" w:cs="Times New Roman"/>
          <w:i/>
          <w:sz w:val="24"/>
          <w:szCs w:val="28"/>
          <w:lang w:val="be-BY"/>
        </w:rPr>
        <w:t xml:space="preserve"> захаван</w:t>
      </w:r>
      <w:r w:rsidR="00836792">
        <w:rPr>
          <w:rFonts w:ascii="Times New Roman" w:hAnsi="Times New Roman" w:cs="Times New Roman"/>
          <w:i/>
          <w:sz w:val="24"/>
          <w:szCs w:val="28"/>
          <w:lang w:val="be-BY"/>
        </w:rPr>
        <w:t>ня</w:t>
      </w:r>
      <w:r w:rsidRPr="00A62459">
        <w:rPr>
          <w:rFonts w:ascii="Times New Roman" w:hAnsi="Times New Roman" w:cs="Times New Roman"/>
          <w:i/>
          <w:sz w:val="24"/>
          <w:szCs w:val="28"/>
          <w:lang w:val="be-BY"/>
        </w:rPr>
        <w:t xml:space="preserve"> ткацкіх вырабаў і афармлення ў асобныя працы гэтых матэрыялаў</w:t>
      </w:r>
      <w:r w:rsidR="00EC5EEB">
        <w:rPr>
          <w:rFonts w:ascii="Times New Roman" w:hAnsi="Times New Roman" w:cs="Times New Roman"/>
          <w:i/>
          <w:sz w:val="24"/>
          <w:szCs w:val="28"/>
          <w:lang w:val="be-BY"/>
        </w:rPr>
        <w:t xml:space="preserve"> з канкрэтнага мікрарэгіёну</w:t>
      </w:r>
      <w:r w:rsidRPr="00A62459">
        <w:rPr>
          <w:rFonts w:ascii="Times New Roman" w:hAnsi="Times New Roman" w:cs="Times New Roman"/>
          <w:i/>
          <w:sz w:val="24"/>
          <w:szCs w:val="28"/>
          <w:lang w:val="be-BY"/>
        </w:rPr>
        <w:t>.</w:t>
      </w:r>
    </w:p>
    <w:p w14:paraId="6E4DBF65" w14:textId="77777777" w:rsidR="00B40577" w:rsidRPr="00CC0B6B" w:rsidRDefault="00B40577" w:rsidP="00E25B19">
      <w:pPr>
        <w:spacing w:after="0" w:line="240" w:lineRule="auto"/>
        <w:ind w:firstLine="709"/>
        <w:jc w:val="both"/>
        <w:rPr>
          <w:rFonts w:ascii="Times New Roman" w:hAnsi="Times New Roman" w:cs="Times New Roman"/>
          <w:sz w:val="28"/>
          <w:lang w:val="be-BY"/>
        </w:rPr>
      </w:pPr>
    </w:p>
    <w:p w14:paraId="4F9B03AD" w14:textId="77777777" w:rsidR="00A62459" w:rsidRDefault="00A62459" w:rsidP="00A62459">
      <w:pPr>
        <w:spacing w:after="0" w:line="240" w:lineRule="auto"/>
        <w:ind w:firstLine="709"/>
        <w:jc w:val="both"/>
        <w:rPr>
          <w:rFonts w:ascii="Times New Roman" w:hAnsi="Times New Roman" w:cs="Times New Roman"/>
          <w:sz w:val="28"/>
          <w:lang w:val="be-BY"/>
        </w:rPr>
      </w:pPr>
      <w:r w:rsidRPr="000B4B28">
        <w:rPr>
          <w:rFonts w:ascii="Times New Roman" w:hAnsi="Times New Roman" w:cs="Times New Roman"/>
          <w:sz w:val="28"/>
          <w:lang w:val="be-BY"/>
        </w:rPr>
        <w:t>Народнае ткацтва – адно з найбольш распаўсюджаных і старажытных рамёстваў беларускага народа. З пакалення ў пакаленне яно ўдасканальвалася і перадавалася, захоўваючы агульныя традыцыі</w:t>
      </w:r>
      <w:r>
        <w:rPr>
          <w:rFonts w:ascii="Times New Roman" w:hAnsi="Times New Roman" w:cs="Times New Roman"/>
          <w:sz w:val="28"/>
          <w:lang w:val="be-BY"/>
        </w:rPr>
        <w:t>.</w:t>
      </w:r>
      <w:r w:rsidRPr="000B4B28">
        <w:rPr>
          <w:rFonts w:ascii="Times New Roman" w:hAnsi="Times New Roman" w:cs="Times New Roman"/>
          <w:sz w:val="28"/>
          <w:lang w:val="be-BY"/>
        </w:rPr>
        <w:t xml:space="preserve"> На працягу многіх стагоддзяў ткацтва развівалася побач з вытворчай </w:t>
      </w:r>
      <w:r w:rsidRPr="000B4B28">
        <w:rPr>
          <w:rFonts w:ascii="Times New Roman" w:hAnsi="Times New Roman" w:cs="Times New Roman"/>
          <w:sz w:val="28"/>
          <w:lang w:val="be-BY"/>
        </w:rPr>
        <w:lastRenderedPageBreak/>
        <w:t>дзейнасцю народа, залежала ад сацыяльна-эканамічнага стану, а таксама ад бытавых патрэб. Яно адлюстроўвае гаспадарча-працоўную дзейнасць народа, яго прыналежнасць да пэўнай этнічнай группы і ў вядомай меры з’яўляецца паказчыкам узроўня культуры народа на пэўным гістарычным этапе яго развіцця.</w:t>
      </w:r>
    </w:p>
    <w:p w14:paraId="08E8EC00" w14:textId="77777777" w:rsidR="00A62459" w:rsidRDefault="00A62459" w:rsidP="00A62459">
      <w:pPr>
        <w:spacing w:after="0" w:line="240" w:lineRule="auto"/>
        <w:ind w:firstLine="709"/>
        <w:jc w:val="both"/>
        <w:rPr>
          <w:rFonts w:ascii="Times New Roman" w:hAnsi="Times New Roman" w:cs="Times New Roman"/>
          <w:sz w:val="28"/>
          <w:lang w:val="be-BY"/>
        </w:rPr>
      </w:pPr>
      <w:r w:rsidRPr="000B4B28">
        <w:rPr>
          <w:rFonts w:ascii="Times New Roman" w:hAnsi="Times New Roman" w:cs="Times New Roman"/>
          <w:sz w:val="28"/>
          <w:lang w:val="be-BY"/>
        </w:rPr>
        <w:t>Для этнографаў беларускае народнае ткацтва ўяўляе вялікую цікавасць, бо яно звязана з гісторыяй народа і можа служыць каштоўным матэрыялам пры даследаванні этнічных працэссаў мінулага, этнакультурных узаемасувязей беларусаў з другімі народамі. У этнаграфіі традыцыйнае ткацтва разглядаецца як комплекс гаспадарча-працоўных аперацый па апрацоўцы сыравіны, прадзенні і вырабе тканіны на ткацкім станку або іншых ткацкіх прастасаваннях. Ткацкія вырабы – яскравы паказчык этнічнай традыцыі і выразная частка мастацкай спадчыны этнасу.</w:t>
      </w:r>
    </w:p>
    <w:p w14:paraId="6AB281E8" w14:textId="23328EF4" w:rsidR="00A62459" w:rsidRDefault="00A62459" w:rsidP="00A62459">
      <w:pPr>
        <w:spacing w:after="0" w:line="240" w:lineRule="auto"/>
        <w:ind w:firstLine="709"/>
        <w:jc w:val="both"/>
        <w:rPr>
          <w:rFonts w:ascii="Times New Roman" w:hAnsi="Times New Roman" w:cs="Times New Roman"/>
          <w:sz w:val="28"/>
          <w:lang w:val="be-BY"/>
        </w:rPr>
      </w:pPr>
      <w:r w:rsidRPr="000B4B28">
        <w:rPr>
          <w:rFonts w:ascii="Times New Roman" w:hAnsi="Times New Roman" w:cs="Times New Roman"/>
          <w:sz w:val="28"/>
          <w:lang w:val="be-BY"/>
        </w:rPr>
        <w:t xml:space="preserve">Актуальнасць дадзенай </w:t>
      </w:r>
      <w:r>
        <w:rPr>
          <w:rFonts w:ascii="Times New Roman" w:hAnsi="Times New Roman" w:cs="Times New Roman"/>
          <w:sz w:val="28"/>
          <w:lang w:val="be-BY"/>
        </w:rPr>
        <w:t>працы звязана з вывучэннем адной</w:t>
      </w:r>
      <w:r w:rsidRPr="000B4B28">
        <w:rPr>
          <w:rFonts w:ascii="Times New Roman" w:hAnsi="Times New Roman" w:cs="Times New Roman"/>
          <w:sz w:val="28"/>
          <w:lang w:val="be-BY"/>
        </w:rPr>
        <w:t xml:space="preserve"> з значных катэгорый этналогіі – ткацтва як важнейша</w:t>
      </w:r>
      <w:r w:rsidR="00BD1D65">
        <w:rPr>
          <w:rFonts w:ascii="Times New Roman" w:hAnsi="Times New Roman" w:cs="Times New Roman"/>
          <w:sz w:val="28"/>
          <w:lang w:val="be-BY"/>
        </w:rPr>
        <w:t>га</w:t>
      </w:r>
      <w:r w:rsidRPr="000B4B28">
        <w:rPr>
          <w:rFonts w:ascii="Times New Roman" w:hAnsi="Times New Roman" w:cs="Times New Roman"/>
          <w:sz w:val="28"/>
          <w:lang w:val="be-BY"/>
        </w:rPr>
        <w:t xml:space="preserve"> рамяство </w:t>
      </w:r>
      <w:r>
        <w:rPr>
          <w:rFonts w:ascii="Times New Roman" w:hAnsi="Times New Roman" w:cs="Times New Roman"/>
          <w:sz w:val="28"/>
          <w:lang w:val="be-BY"/>
        </w:rPr>
        <w:t>мінулага</w:t>
      </w:r>
      <w:r w:rsidRPr="000B4B28">
        <w:rPr>
          <w:rFonts w:ascii="Times New Roman" w:hAnsi="Times New Roman" w:cs="Times New Roman"/>
          <w:sz w:val="28"/>
          <w:lang w:val="be-BY"/>
        </w:rPr>
        <w:t>. Таму і розныя даследаванні па гэтай тэме для нас маюць асаблівае значенне.</w:t>
      </w:r>
    </w:p>
    <w:p w14:paraId="5D2E8D2D" w14:textId="77777777" w:rsidR="00A62459" w:rsidRDefault="00A62459" w:rsidP="00A62459">
      <w:pPr>
        <w:spacing w:after="0" w:line="240" w:lineRule="auto"/>
        <w:ind w:firstLine="709"/>
        <w:jc w:val="both"/>
        <w:rPr>
          <w:rFonts w:ascii="Times New Roman" w:hAnsi="Times New Roman" w:cs="Times New Roman"/>
          <w:sz w:val="28"/>
          <w:lang w:val="be-BY"/>
        </w:rPr>
      </w:pPr>
      <w:r w:rsidRPr="000B4B28">
        <w:rPr>
          <w:rFonts w:ascii="Times New Roman" w:hAnsi="Times New Roman" w:cs="Times New Roman"/>
          <w:sz w:val="28"/>
          <w:lang w:val="be-BY"/>
        </w:rPr>
        <w:t xml:space="preserve">Мэтай працы з’яўляецца спроба аналізу і сістэматызацыі наяўнай інфармацыі аб даследаваннях ткацтва на тэрыторыі </w:t>
      </w:r>
      <w:r>
        <w:rPr>
          <w:rFonts w:ascii="Times New Roman" w:hAnsi="Times New Roman" w:cs="Times New Roman"/>
          <w:sz w:val="28"/>
          <w:lang w:val="be-BY"/>
        </w:rPr>
        <w:t>Бярозаўскага раёна</w:t>
      </w:r>
      <w:r w:rsidRPr="000B4B28">
        <w:rPr>
          <w:rFonts w:ascii="Times New Roman" w:hAnsi="Times New Roman" w:cs="Times New Roman"/>
          <w:sz w:val="28"/>
          <w:lang w:val="be-BY"/>
        </w:rPr>
        <w:t xml:space="preserve"> праз прызму ўжо вядомых навуковых прац.</w:t>
      </w:r>
    </w:p>
    <w:p w14:paraId="17A3CADE" w14:textId="41431559" w:rsidR="00A62459" w:rsidRDefault="00A62459" w:rsidP="00A62459">
      <w:pPr>
        <w:spacing w:after="0" w:line="240" w:lineRule="auto"/>
        <w:ind w:firstLine="709"/>
        <w:jc w:val="both"/>
        <w:rPr>
          <w:rFonts w:ascii="Times New Roman" w:hAnsi="Times New Roman" w:cs="Times New Roman"/>
          <w:sz w:val="28"/>
          <w:lang w:val="be-BY"/>
        </w:rPr>
      </w:pPr>
      <w:r w:rsidRPr="00322DCA">
        <w:rPr>
          <w:rFonts w:ascii="Times New Roman" w:hAnsi="Times New Roman" w:cs="Times New Roman"/>
          <w:sz w:val="28"/>
          <w:lang w:val="be-BY"/>
        </w:rPr>
        <w:t xml:space="preserve">Аб’ект даследавання – </w:t>
      </w:r>
      <w:r w:rsidR="00BD1D65">
        <w:rPr>
          <w:rFonts w:ascii="Times New Roman" w:hAnsi="Times New Roman" w:cs="Times New Roman"/>
          <w:sz w:val="28"/>
          <w:lang w:val="be-BY"/>
        </w:rPr>
        <w:t>традыцыі</w:t>
      </w:r>
      <w:r>
        <w:rPr>
          <w:rFonts w:ascii="Times New Roman" w:hAnsi="Times New Roman" w:cs="Times New Roman"/>
          <w:sz w:val="28"/>
          <w:lang w:val="be-BY"/>
        </w:rPr>
        <w:t xml:space="preserve"> ткацтва</w:t>
      </w:r>
      <w:r w:rsidRPr="00322DCA">
        <w:rPr>
          <w:rFonts w:ascii="Times New Roman" w:hAnsi="Times New Roman" w:cs="Times New Roman"/>
          <w:sz w:val="28"/>
          <w:lang w:val="be-BY"/>
        </w:rPr>
        <w:t>.</w:t>
      </w:r>
    </w:p>
    <w:p w14:paraId="01AA5C14" w14:textId="152A2A2F" w:rsidR="00A62459" w:rsidRDefault="00A62459" w:rsidP="00BD1D65">
      <w:pPr>
        <w:spacing w:after="0" w:line="240" w:lineRule="auto"/>
        <w:ind w:firstLine="709"/>
        <w:jc w:val="both"/>
        <w:rPr>
          <w:rFonts w:ascii="Times New Roman" w:hAnsi="Times New Roman" w:cs="Times New Roman"/>
          <w:sz w:val="28"/>
          <w:lang w:val="be-BY"/>
        </w:rPr>
      </w:pPr>
      <w:r w:rsidRPr="00322DCA">
        <w:rPr>
          <w:rFonts w:ascii="Times New Roman" w:hAnsi="Times New Roman" w:cs="Times New Roman"/>
          <w:sz w:val="28"/>
          <w:lang w:val="be-BY"/>
        </w:rPr>
        <w:t xml:space="preserve">Прадмет даследавання – </w:t>
      </w:r>
      <w:r w:rsidR="00BD1D65">
        <w:rPr>
          <w:rFonts w:ascii="Times New Roman" w:hAnsi="Times New Roman" w:cs="Times New Roman"/>
          <w:sz w:val="28"/>
          <w:lang w:val="be-BY"/>
        </w:rPr>
        <w:t xml:space="preserve">гісторыя вывучэння </w:t>
      </w:r>
      <w:r>
        <w:rPr>
          <w:rFonts w:ascii="Times New Roman" w:hAnsi="Times New Roman" w:cs="Times New Roman"/>
          <w:sz w:val="28"/>
          <w:lang w:val="be-BY"/>
        </w:rPr>
        <w:t xml:space="preserve">ткацтва </w:t>
      </w:r>
      <w:r w:rsidRPr="00322DCA">
        <w:rPr>
          <w:rFonts w:ascii="Times New Roman" w:hAnsi="Times New Roman" w:cs="Times New Roman"/>
          <w:sz w:val="28"/>
          <w:lang w:val="be-BY"/>
        </w:rPr>
        <w:t>Бярозаў</w:t>
      </w:r>
      <w:r w:rsidR="00BD1D65">
        <w:rPr>
          <w:rFonts w:ascii="Times New Roman" w:hAnsi="Times New Roman" w:cs="Times New Roman"/>
          <w:sz w:val="28"/>
          <w:lang w:val="be-BY"/>
        </w:rPr>
        <w:t>шчыны</w:t>
      </w:r>
      <w:r w:rsidRPr="00322DCA">
        <w:rPr>
          <w:rFonts w:ascii="Times New Roman" w:hAnsi="Times New Roman" w:cs="Times New Roman"/>
          <w:sz w:val="28"/>
          <w:lang w:val="be-BY"/>
        </w:rPr>
        <w:t>.</w:t>
      </w:r>
    </w:p>
    <w:p w14:paraId="7F9B0BEE" w14:textId="54EE896C" w:rsidR="00A62459" w:rsidRDefault="00A62459" w:rsidP="00A62459">
      <w:pPr>
        <w:spacing w:after="0" w:line="240" w:lineRule="auto"/>
        <w:ind w:firstLine="709"/>
        <w:jc w:val="both"/>
        <w:rPr>
          <w:rFonts w:ascii="Times New Roman" w:hAnsi="Times New Roman" w:cs="Times New Roman"/>
          <w:sz w:val="28"/>
          <w:lang w:val="be-BY"/>
        </w:rPr>
      </w:pPr>
      <w:r w:rsidRPr="000238BD">
        <w:rPr>
          <w:rFonts w:ascii="Times New Roman" w:hAnsi="Times New Roman" w:cs="Times New Roman"/>
          <w:sz w:val="28"/>
          <w:lang w:val="be-BY"/>
        </w:rPr>
        <w:t xml:space="preserve">Гістарычныя падзеі </w:t>
      </w:r>
      <w:r w:rsidR="00BD1D65">
        <w:rPr>
          <w:rFonts w:ascii="Times New Roman" w:hAnsi="Times New Roman" w:cs="Times New Roman"/>
          <w:sz w:val="28"/>
          <w:lang w:val="be-BY"/>
        </w:rPr>
        <w:t>істотна</w:t>
      </w:r>
      <w:r w:rsidRPr="000238BD">
        <w:rPr>
          <w:rFonts w:ascii="Times New Roman" w:hAnsi="Times New Roman" w:cs="Times New Roman"/>
          <w:sz w:val="28"/>
          <w:lang w:val="be-BY"/>
        </w:rPr>
        <w:t xml:space="preserve"> ўплывалі на вывучэнне матэрыяльнай культуры беларусаў</w:t>
      </w:r>
      <w:r w:rsidR="00351142">
        <w:rPr>
          <w:rFonts w:ascii="Times New Roman" w:hAnsi="Times New Roman" w:cs="Times New Roman"/>
          <w:sz w:val="28"/>
          <w:lang w:val="be-BY"/>
        </w:rPr>
        <w:t>.</w:t>
      </w:r>
      <w:r w:rsidRPr="000238BD">
        <w:rPr>
          <w:rFonts w:ascii="Times New Roman" w:hAnsi="Times New Roman" w:cs="Times New Roman"/>
          <w:sz w:val="28"/>
          <w:lang w:val="be-BY"/>
        </w:rPr>
        <w:t xml:space="preserve"> Таму, каб зручней было назіраць за развіццём </w:t>
      </w:r>
      <w:r w:rsidR="00351142">
        <w:rPr>
          <w:rFonts w:ascii="Times New Roman" w:hAnsi="Times New Roman" w:cs="Times New Roman"/>
          <w:sz w:val="28"/>
          <w:lang w:val="be-BY"/>
        </w:rPr>
        <w:t>вывучэння</w:t>
      </w:r>
      <w:r>
        <w:rPr>
          <w:rFonts w:ascii="Times New Roman" w:hAnsi="Times New Roman" w:cs="Times New Roman"/>
          <w:sz w:val="28"/>
          <w:lang w:val="be-BY"/>
        </w:rPr>
        <w:t xml:space="preserve"> ткацтва</w:t>
      </w:r>
      <w:r w:rsidRPr="000238BD">
        <w:rPr>
          <w:rFonts w:ascii="Times New Roman" w:hAnsi="Times New Roman" w:cs="Times New Roman"/>
          <w:sz w:val="28"/>
          <w:lang w:val="be-BY"/>
        </w:rPr>
        <w:t>, вылучы</w:t>
      </w:r>
      <w:r w:rsidR="00351142">
        <w:rPr>
          <w:rFonts w:ascii="Times New Roman" w:hAnsi="Times New Roman" w:cs="Times New Roman"/>
          <w:sz w:val="28"/>
          <w:lang w:val="be-BY"/>
        </w:rPr>
        <w:t>м</w:t>
      </w:r>
      <w:r w:rsidRPr="000238BD">
        <w:rPr>
          <w:rFonts w:ascii="Times New Roman" w:hAnsi="Times New Roman" w:cs="Times New Roman"/>
          <w:sz w:val="28"/>
          <w:lang w:val="be-BY"/>
        </w:rPr>
        <w:t xml:space="preserve"> асноўныя этапы </w:t>
      </w:r>
      <w:r w:rsidR="00351142">
        <w:rPr>
          <w:rFonts w:ascii="Times New Roman" w:hAnsi="Times New Roman" w:cs="Times New Roman"/>
          <w:sz w:val="28"/>
          <w:lang w:val="be-BY"/>
        </w:rPr>
        <w:t>яго</w:t>
      </w:r>
      <w:r w:rsidRPr="000238BD">
        <w:rPr>
          <w:rFonts w:ascii="Times New Roman" w:hAnsi="Times New Roman" w:cs="Times New Roman"/>
          <w:sz w:val="28"/>
          <w:lang w:val="be-BY"/>
        </w:rPr>
        <w:t xml:space="preserve"> станаўлення ў пэўныя гістарычныя перыяды: дарэвалюцыйны, даваенны, пасляваенны, сучасны.</w:t>
      </w:r>
    </w:p>
    <w:p w14:paraId="7A25B127" w14:textId="77777777" w:rsidR="00A62459" w:rsidRDefault="00A62459" w:rsidP="00A62459">
      <w:pPr>
        <w:spacing w:after="0" w:line="24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Дарэвалюцыйны перыяд. </w:t>
      </w:r>
      <w:r w:rsidRPr="00FE1EA8">
        <w:rPr>
          <w:rFonts w:ascii="Times New Roman" w:hAnsi="Times New Roman" w:cs="Times New Roman"/>
          <w:sz w:val="28"/>
          <w:lang w:val="be-BY"/>
        </w:rPr>
        <w:t>Цікавасць даследчыкаў да народн</w:t>
      </w:r>
      <w:r>
        <w:rPr>
          <w:rFonts w:ascii="Times New Roman" w:hAnsi="Times New Roman" w:cs="Times New Roman"/>
          <w:sz w:val="28"/>
          <w:lang w:val="be-BY"/>
        </w:rPr>
        <w:t xml:space="preserve">ага ткацтва </w:t>
      </w:r>
      <w:r w:rsidRPr="00FE1EA8">
        <w:rPr>
          <w:rFonts w:ascii="Times New Roman" w:hAnsi="Times New Roman" w:cs="Times New Roman"/>
          <w:sz w:val="28"/>
          <w:lang w:val="be-BY"/>
        </w:rPr>
        <w:t>пачала зараджацца больш за стагоддзе таму (дарэчы, значна пазней, чым у нашых суседзяў – рускіх, палякаў, украінцаў). Праўда, пытанні гэтай галіны народнай культуры толькі зрэдку закраналіся ў этнаграфічных і фальклорных працах, на той час ужо досыць шматлікіх. У іх пераважаюць апісанні розных відаў вусна-паэтычнай творчасці народа і толькі нешматлікія звесткі некаторых бакоў матэрыяльнай культуры. Пэўна, варта пагадзіцца з думкай вядом</w:t>
      </w:r>
      <w:r>
        <w:rPr>
          <w:rFonts w:ascii="Times New Roman" w:hAnsi="Times New Roman" w:cs="Times New Roman"/>
          <w:sz w:val="28"/>
          <w:lang w:val="be-BY"/>
        </w:rPr>
        <w:t>ага беларускага этнографа Е. Р. </w:t>
      </w:r>
      <w:r w:rsidRPr="00FE1EA8">
        <w:rPr>
          <w:rFonts w:ascii="Times New Roman" w:hAnsi="Times New Roman" w:cs="Times New Roman"/>
          <w:sz w:val="28"/>
          <w:lang w:val="be-BY"/>
        </w:rPr>
        <w:t xml:space="preserve">Раманава, які асноўнай прычынай гэтага лічыў адносна позняе ажыўленне беларускай этнаграфіі. У той час як палякі, чэхі, немцы, французы напісалі шматлікія працы нават па асобных відах народнага мастацтва, у беларусаў яшчэ нічога не было зроблена. Такім чынам, беларускія даследчыкі, апынуўшыся перад непачатым краем работы, перш за ўсё кінуліся ратаваць вусную народную творчасць, якой, на іх думку, пагражала больш хуткае знікненне, чым лягчэйшай для апісання і больш кансерватыўнай матэрыяльнай творчасці </w:t>
      </w:r>
      <w:r w:rsidRPr="004330B4">
        <w:rPr>
          <w:rFonts w:ascii="Times New Roman" w:hAnsi="Times New Roman" w:cs="Times New Roman"/>
          <w:sz w:val="28"/>
          <w:lang w:val="be-BY"/>
        </w:rPr>
        <w:t>[3]</w:t>
      </w:r>
      <w:r w:rsidRPr="00FE1EA8">
        <w:rPr>
          <w:rFonts w:ascii="Times New Roman" w:hAnsi="Times New Roman" w:cs="Times New Roman"/>
          <w:sz w:val="28"/>
          <w:lang w:val="be-BY"/>
        </w:rPr>
        <w:t>.</w:t>
      </w:r>
      <w:r>
        <w:rPr>
          <w:rFonts w:ascii="Times New Roman" w:hAnsi="Times New Roman" w:cs="Times New Roman"/>
          <w:sz w:val="28"/>
          <w:lang w:val="be-BY"/>
        </w:rPr>
        <w:t xml:space="preserve"> Таму з-за гэтай прычыны ў абазначаны перыяд мы не змаглі знайсці </w:t>
      </w:r>
      <w:r>
        <w:rPr>
          <w:rFonts w:ascii="Times New Roman" w:hAnsi="Times New Roman" w:cs="Times New Roman"/>
          <w:sz w:val="28"/>
          <w:lang w:val="be-BY"/>
        </w:rPr>
        <w:lastRenderedPageBreak/>
        <w:t xml:space="preserve">нават асобных кароткіх этнаграфічных звестак па даследаваннях ткацтва Бярозаўшчыны. </w:t>
      </w:r>
    </w:p>
    <w:p w14:paraId="130A2F1D" w14:textId="77777777" w:rsidR="00A62459" w:rsidRPr="00FE1EA8" w:rsidRDefault="00A62459" w:rsidP="00A62459">
      <w:pPr>
        <w:spacing w:after="0" w:line="24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Даваенны перыяд. </w:t>
      </w:r>
      <w:r w:rsidRPr="00FE1EA8">
        <w:rPr>
          <w:rFonts w:ascii="Times New Roman" w:hAnsi="Times New Roman" w:cs="Times New Roman"/>
          <w:sz w:val="28"/>
          <w:lang w:val="be-BY"/>
        </w:rPr>
        <w:t>З 1921 па 1939 г. у заходніх абласцях Беларусі</w:t>
      </w:r>
      <w:r>
        <w:rPr>
          <w:rFonts w:ascii="Times New Roman" w:hAnsi="Times New Roman" w:cs="Times New Roman"/>
          <w:sz w:val="28"/>
          <w:lang w:val="be-BY"/>
        </w:rPr>
        <w:t xml:space="preserve"> (Бярозаўшчына ўваходзіла ў склад Пружанскага павета, Палескага ваяводства </w:t>
      </w:r>
      <w:r w:rsidRPr="004330B4">
        <w:rPr>
          <w:rFonts w:ascii="Times New Roman" w:hAnsi="Times New Roman" w:cs="Times New Roman"/>
          <w:sz w:val="28"/>
          <w:lang w:val="be-BY"/>
        </w:rPr>
        <w:t>[2]</w:t>
      </w:r>
      <w:r>
        <w:rPr>
          <w:rFonts w:ascii="Times New Roman" w:hAnsi="Times New Roman" w:cs="Times New Roman"/>
          <w:sz w:val="28"/>
          <w:lang w:val="be-BY"/>
        </w:rPr>
        <w:t>)</w:t>
      </w:r>
      <w:r w:rsidRPr="00FE1EA8">
        <w:rPr>
          <w:rFonts w:ascii="Times New Roman" w:hAnsi="Times New Roman" w:cs="Times New Roman"/>
          <w:sz w:val="28"/>
          <w:lang w:val="be-BY"/>
        </w:rPr>
        <w:t xml:space="preserve">, якія ўваходзілі ў гэты перыяд у склад ІІ Рэчы Паспалітай, навуковым цэнтрам вывучэння беларускай этнаграфіі, народнага мастацтва была Вільня. Беларускі народны тэкстыль знаходзіўся ў цэнтры ўвагі этнографаў, дзеячаў беларускай культуры і народных промыслаў Заходняй Беларусі. Як і ў БССР, у Заходняй Беларусі вялікая ўвага надавалася развіццю і падтрымцы народных промыслаў. Аднак прынцыповая розніца ў падыходах і задачах гэтай дзейнасці заключалася ў тым, што практычная работа па развіцці народных мастацкіх промыслаў і рамёстваў у Заходняй Беларусі абапіралася на планамернае этнаграфічнае вывучэнне рэгіёну. Навуковыя даследаванні ў гэтай галіне былі сканцэнтраваны на кафедры этналогіі і этнаграфіі (1924–1939 гг.) </w:t>
      </w:r>
      <w:r w:rsidRPr="004330B4">
        <w:rPr>
          <w:rFonts w:ascii="Times New Roman" w:hAnsi="Times New Roman" w:cs="Times New Roman"/>
          <w:sz w:val="28"/>
          <w:lang w:val="be-BY"/>
        </w:rPr>
        <w:t>[1]</w:t>
      </w:r>
      <w:r w:rsidRPr="00FE1EA8">
        <w:rPr>
          <w:rFonts w:ascii="Times New Roman" w:hAnsi="Times New Roman" w:cs="Times New Roman"/>
          <w:sz w:val="28"/>
          <w:lang w:val="be-BY"/>
        </w:rPr>
        <w:t xml:space="preserve">, якую ўзначальвалі таленавітыя даследчыкі Ц. Бадуэн дэ Куртунэ і К. Машынскі, і ў Этнаграфічным музеі Віленскага ўніверсітэта ім. Стэфана Баторыя. Іх навуковыя працы па народнай культуры Віленскага краю </w:t>
      </w:r>
      <w:r w:rsidRPr="004330B4">
        <w:rPr>
          <w:rFonts w:ascii="Times New Roman" w:hAnsi="Times New Roman" w:cs="Times New Roman"/>
          <w:sz w:val="28"/>
          <w:lang w:val="be-BY"/>
        </w:rPr>
        <w:t>[4]</w:t>
      </w:r>
      <w:r w:rsidRPr="00FE1EA8">
        <w:rPr>
          <w:rFonts w:ascii="Times New Roman" w:hAnsi="Times New Roman" w:cs="Times New Roman"/>
          <w:sz w:val="28"/>
          <w:lang w:val="be-BY"/>
        </w:rPr>
        <w:t xml:space="preserve">, народнай культуры славян </w:t>
      </w:r>
      <w:r w:rsidRPr="004330B4">
        <w:rPr>
          <w:rFonts w:ascii="Times New Roman" w:hAnsi="Times New Roman" w:cs="Times New Roman"/>
          <w:sz w:val="28"/>
          <w:lang w:val="be-BY"/>
        </w:rPr>
        <w:t>[5]</w:t>
      </w:r>
      <w:r w:rsidRPr="00FE1EA8">
        <w:rPr>
          <w:rFonts w:ascii="Times New Roman" w:hAnsi="Times New Roman" w:cs="Times New Roman"/>
          <w:sz w:val="28"/>
          <w:lang w:val="be-BY"/>
        </w:rPr>
        <w:t xml:space="preserve"> з’яўляліся асновай для распрацоўкі магістарскіх і доктарскіх дысертацый, прысвечаных розным абласцям народнай культуры Заходняй Беларусі. На кафедры былі падрыхтаваны і пабачылі свет манаграфіі практычна па ўсіх відах народнага мастацтва і рамёствам рэгіёна. Характэрна, што ў гэтых публікацыях знайшоў адлюстраванне стан традыцыйнай культуры, рамесных і прамысловых заняткаў беларусаў канца ХІХ – пачатку ХХ ст., а таксама тыя перамены, якія адбываліся ў іх напярэдадні Другой сусветнай вайны пад уплывам разнастайных цывілізацыйных працэсаў, эканамічных і сацыяльна-культурных фактараў.</w:t>
      </w:r>
    </w:p>
    <w:p w14:paraId="08BE2E73" w14:textId="747CD1C3" w:rsidR="00A62459" w:rsidRPr="00FE1EA8" w:rsidRDefault="00A62459" w:rsidP="00A62459">
      <w:pPr>
        <w:spacing w:after="0" w:line="240" w:lineRule="auto"/>
        <w:ind w:firstLine="709"/>
        <w:jc w:val="both"/>
        <w:rPr>
          <w:rFonts w:ascii="Times New Roman" w:hAnsi="Times New Roman" w:cs="Times New Roman"/>
          <w:sz w:val="28"/>
          <w:lang w:val="be-BY"/>
        </w:rPr>
      </w:pPr>
      <w:r w:rsidRPr="00FE1EA8">
        <w:rPr>
          <w:rFonts w:ascii="Times New Roman" w:hAnsi="Times New Roman" w:cs="Times New Roman"/>
          <w:sz w:val="28"/>
          <w:lang w:val="be-BY"/>
        </w:rPr>
        <w:t>Народнае ткацтва Віленскага і Навагрудскага ваяводства</w:t>
      </w:r>
      <w:r>
        <w:rPr>
          <w:rFonts w:ascii="Times New Roman" w:hAnsi="Times New Roman" w:cs="Times New Roman"/>
          <w:sz w:val="28"/>
          <w:lang w:val="be-BY"/>
        </w:rPr>
        <w:t xml:space="preserve"> даследаваў Л. Туркоўскі </w:t>
      </w:r>
      <w:r w:rsidRPr="004330B4">
        <w:rPr>
          <w:rFonts w:ascii="Times New Roman" w:hAnsi="Times New Roman" w:cs="Times New Roman"/>
          <w:sz w:val="28"/>
          <w:lang w:val="be-BY"/>
        </w:rPr>
        <w:t>[10]</w:t>
      </w:r>
      <w:r w:rsidRPr="00FE1EA8">
        <w:rPr>
          <w:rFonts w:ascii="Times New Roman" w:hAnsi="Times New Roman" w:cs="Times New Roman"/>
          <w:sz w:val="28"/>
          <w:lang w:val="be-BY"/>
        </w:rPr>
        <w:t>. Рукапіс манаграфіі ў 250 старонак з малюнкамі і фотаздымкамі, падрыхтаван</w:t>
      </w:r>
      <w:r w:rsidR="00351142">
        <w:rPr>
          <w:rFonts w:ascii="Times New Roman" w:hAnsi="Times New Roman" w:cs="Times New Roman"/>
          <w:sz w:val="28"/>
          <w:lang w:val="be-BY"/>
        </w:rPr>
        <w:t>ы</w:t>
      </w:r>
      <w:r w:rsidRPr="00FE1EA8">
        <w:rPr>
          <w:rFonts w:ascii="Times New Roman" w:hAnsi="Times New Roman" w:cs="Times New Roman"/>
          <w:sz w:val="28"/>
          <w:lang w:val="be-BY"/>
        </w:rPr>
        <w:t xml:space="preserve"> ім да друку, бы</w:t>
      </w:r>
      <w:r w:rsidR="00351142">
        <w:rPr>
          <w:rFonts w:ascii="Times New Roman" w:hAnsi="Times New Roman" w:cs="Times New Roman"/>
          <w:sz w:val="28"/>
          <w:lang w:val="be-BY"/>
        </w:rPr>
        <w:t>ў</w:t>
      </w:r>
      <w:r w:rsidRPr="00FE1EA8">
        <w:rPr>
          <w:rFonts w:ascii="Times New Roman" w:hAnsi="Times New Roman" w:cs="Times New Roman"/>
          <w:sz w:val="28"/>
          <w:lang w:val="be-BY"/>
        </w:rPr>
        <w:t xml:space="preserve"> знішчана падчас бамбардзіровак Варшавы ў верасні 1939 г. </w:t>
      </w:r>
      <w:r w:rsidR="00351142">
        <w:rPr>
          <w:rFonts w:ascii="Times New Roman" w:hAnsi="Times New Roman" w:cs="Times New Roman"/>
          <w:sz w:val="28"/>
          <w:lang w:val="be-BY"/>
        </w:rPr>
        <w:t>А</w:t>
      </w:r>
      <w:r w:rsidRPr="00FE1EA8">
        <w:rPr>
          <w:rFonts w:ascii="Times New Roman" w:hAnsi="Times New Roman" w:cs="Times New Roman"/>
          <w:sz w:val="28"/>
          <w:lang w:val="be-BY"/>
        </w:rPr>
        <w:t>цалелыя фрагменты кнігі пабачылі свет толькі ў 1970-я гады ў Лондане і Познані. Асаблівую цікавасць уяўляюць раздзелы, у якіх аўтар на аснове архіўных крыніц і ўласных палявых матэрыялаў разглядае ўплыў ткацкага р</w:t>
      </w:r>
      <w:r>
        <w:rPr>
          <w:rFonts w:ascii="Times New Roman" w:hAnsi="Times New Roman" w:cs="Times New Roman"/>
          <w:sz w:val="28"/>
          <w:lang w:val="be-BY"/>
        </w:rPr>
        <w:t>амяства на народнае ткацтва</w:t>
      </w:r>
      <w:r w:rsidRPr="00FE1EA8">
        <w:rPr>
          <w:rFonts w:ascii="Times New Roman" w:hAnsi="Times New Roman" w:cs="Times New Roman"/>
          <w:sz w:val="28"/>
          <w:lang w:val="be-BY"/>
        </w:rPr>
        <w:t>.</w:t>
      </w:r>
    </w:p>
    <w:p w14:paraId="0308AD20" w14:textId="77777777" w:rsidR="00A62459" w:rsidRDefault="00A62459" w:rsidP="00A62459">
      <w:pPr>
        <w:spacing w:after="0" w:line="240" w:lineRule="auto"/>
        <w:ind w:firstLine="709"/>
        <w:jc w:val="both"/>
        <w:rPr>
          <w:rFonts w:ascii="Times New Roman" w:hAnsi="Times New Roman" w:cs="Times New Roman"/>
          <w:sz w:val="28"/>
          <w:lang w:val="be-BY"/>
        </w:rPr>
      </w:pPr>
      <w:r w:rsidRPr="00FE1EA8">
        <w:rPr>
          <w:rFonts w:ascii="Times New Roman" w:hAnsi="Times New Roman" w:cs="Times New Roman"/>
          <w:sz w:val="28"/>
          <w:lang w:val="be-BY"/>
        </w:rPr>
        <w:t>Багатымі крыніцамі звестак аб развіцці і трансфармацыі народнага ткацтва і вышыўкі на тэрыторыі Заходняй Беларусі з’яўляюцца кнігі і артыкулы Я. Арынжыны «Народныя промыслы ў Віленскім, Навагрудскім, Палескім і Валынскім ваяводствах» (1927 г.)</w:t>
      </w:r>
      <w:r>
        <w:rPr>
          <w:rFonts w:ascii="Times New Roman" w:hAnsi="Times New Roman" w:cs="Times New Roman"/>
          <w:sz w:val="28"/>
          <w:lang w:val="be-BY"/>
        </w:rPr>
        <w:t xml:space="preserve"> </w:t>
      </w:r>
      <w:r w:rsidRPr="004330B4">
        <w:rPr>
          <w:rFonts w:ascii="Times New Roman" w:hAnsi="Times New Roman" w:cs="Times New Roman"/>
          <w:sz w:val="28"/>
          <w:lang w:val="be-BY"/>
        </w:rPr>
        <w:t>[7]</w:t>
      </w:r>
      <w:r w:rsidRPr="00FE1EA8">
        <w:rPr>
          <w:rFonts w:ascii="Times New Roman" w:hAnsi="Times New Roman" w:cs="Times New Roman"/>
          <w:sz w:val="28"/>
          <w:lang w:val="be-BY"/>
        </w:rPr>
        <w:t>, «Народныя пр</w:t>
      </w:r>
      <w:r>
        <w:rPr>
          <w:rFonts w:ascii="Times New Roman" w:hAnsi="Times New Roman" w:cs="Times New Roman"/>
          <w:sz w:val="28"/>
          <w:lang w:val="be-BY"/>
        </w:rPr>
        <w:t xml:space="preserve">омыслы ў Польшчы» (1937 г.) </w:t>
      </w:r>
      <w:r w:rsidRPr="004330B4">
        <w:rPr>
          <w:rFonts w:ascii="Times New Roman" w:hAnsi="Times New Roman" w:cs="Times New Roman"/>
          <w:sz w:val="28"/>
          <w:lang w:val="be-BY"/>
        </w:rPr>
        <w:t>[6, 8]</w:t>
      </w:r>
      <w:r w:rsidRPr="00FE1EA8">
        <w:rPr>
          <w:rFonts w:ascii="Times New Roman" w:hAnsi="Times New Roman" w:cs="Times New Roman"/>
          <w:sz w:val="28"/>
          <w:lang w:val="be-BY"/>
        </w:rPr>
        <w:t xml:space="preserve"> і Х. Шраммуўны пра народныя тканіны Віленшчыны </w:t>
      </w:r>
      <w:r w:rsidRPr="004330B4">
        <w:rPr>
          <w:rFonts w:ascii="Times New Roman" w:hAnsi="Times New Roman" w:cs="Times New Roman"/>
          <w:sz w:val="28"/>
          <w:lang w:val="be-BY"/>
        </w:rPr>
        <w:t>[9]</w:t>
      </w:r>
      <w:r w:rsidRPr="00FE1EA8">
        <w:rPr>
          <w:rFonts w:ascii="Times New Roman" w:hAnsi="Times New Roman" w:cs="Times New Roman"/>
          <w:sz w:val="28"/>
          <w:lang w:val="be-BY"/>
        </w:rPr>
        <w:t xml:space="preserve">. Дзякуючы іх публікацыям і практычнай дзейнасці ў </w:t>
      </w:r>
      <w:r w:rsidRPr="00FE1EA8">
        <w:rPr>
          <w:rFonts w:ascii="Times New Roman" w:hAnsi="Times New Roman" w:cs="Times New Roman"/>
          <w:sz w:val="28"/>
          <w:lang w:val="be-BY"/>
        </w:rPr>
        <w:lastRenderedPageBreak/>
        <w:t>грамадскі і навуковы абарот у Польшчы былі ўведзены такія самабытныя з’явы ў традыцыйным тэкстылі беларусаў, як віленскія тканіны, навагрудскія паясы, палескія</w:t>
      </w:r>
      <w:r>
        <w:rPr>
          <w:rFonts w:ascii="Times New Roman" w:hAnsi="Times New Roman" w:cs="Times New Roman"/>
          <w:sz w:val="28"/>
          <w:lang w:val="be-BY"/>
        </w:rPr>
        <w:t xml:space="preserve"> пераборы, двухасноўныя дываны.</w:t>
      </w:r>
    </w:p>
    <w:p w14:paraId="7EE652B4" w14:textId="77777777" w:rsidR="00A62459" w:rsidRDefault="00A62459" w:rsidP="00A62459">
      <w:pPr>
        <w:spacing w:after="0" w:line="240" w:lineRule="auto"/>
        <w:ind w:firstLine="709"/>
        <w:jc w:val="both"/>
        <w:rPr>
          <w:rFonts w:ascii="Times New Roman" w:hAnsi="Times New Roman" w:cs="Times New Roman"/>
          <w:sz w:val="28"/>
          <w:lang w:val="be-BY"/>
        </w:rPr>
      </w:pPr>
      <w:r w:rsidRPr="00AC509C">
        <w:rPr>
          <w:rFonts w:ascii="Times New Roman" w:hAnsi="Times New Roman" w:cs="Times New Roman"/>
          <w:sz w:val="28"/>
          <w:lang w:val="be-BY"/>
        </w:rPr>
        <w:t>Мы можам толькі меркаваць, што ў апісаных вышэй працах можа знаходзіцца інфармацыя па даследаваннях ткацтва Бярозаўшчыны, але дакладных звестак у нас няма, на што паўплывала тэрытар</w:t>
      </w:r>
      <w:r>
        <w:rPr>
          <w:rFonts w:ascii="Times New Roman" w:hAnsi="Times New Roman" w:cs="Times New Roman"/>
          <w:sz w:val="28"/>
          <w:lang w:val="be-BY"/>
        </w:rPr>
        <w:t>ыяльная прыналежнасць земляў у аб</w:t>
      </w:r>
      <w:r w:rsidRPr="00AC509C">
        <w:rPr>
          <w:rFonts w:ascii="Times New Roman" w:hAnsi="Times New Roman" w:cs="Times New Roman"/>
          <w:sz w:val="28"/>
          <w:lang w:val="be-BY"/>
        </w:rPr>
        <w:t>азначаны перыяд да Польшчы.</w:t>
      </w:r>
      <w:r w:rsidRPr="00FE1EA8">
        <w:rPr>
          <w:rFonts w:ascii="Times New Roman" w:hAnsi="Times New Roman" w:cs="Times New Roman"/>
          <w:sz w:val="28"/>
          <w:lang w:val="be-BY"/>
        </w:rPr>
        <w:t>Асобных прац пра развіццё ткацтва ў Бярозаўскім раёне няма. Але гэта не значыць, што даслед</w:t>
      </w:r>
      <w:r>
        <w:rPr>
          <w:rFonts w:ascii="Times New Roman" w:hAnsi="Times New Roman" w:cs="Times New Roman"/>
          <w:sz w:val="28"/>
          <w:lang w:val="be-BY"/>
        </w:rPr>
        <w:t>аванні па гэтай тэме не вяліся.</w:t>
      </w:r>
    </w:p>
    <w:p w14:paraId="64FFB86E" w14:textId="39D92BF5" w:rsidR="00A62459" w:rsidRPr="00FE1EA8" w:rsidRDefault="00A62459" w:rsidP="00A62459">
      <w:pPr>
        <w:spacing w:after="0" w:line="240" w:lineRule="auto"/>
        <w:ind w:firstLine="709"/>
        <w:jc w:val="both"/>
        <w:rPr>
          <w:rFonts w:ascii="Times New Roman" w:hAnsi="Times New Roman" w:cs="Times New Roman"/>
          <w:sz w:val="28"/>
          <w:lang w:val="be-BY"/>
        </w:rPr>
      </w:pPr>
      <w:r w:rsidRPr="00AC509C">
        <w:rPr>
          <w:rFonts w:ascii="Times New Roman" w:hAnsi="Times New Roman" w:cs="Times New Roman"/>
          <w:sz w:val="28"/>
          <w:lang w:val="be-BY"/>
        </w:rPr>
        <w:t>Новы этап у вывуч</w:t>
      </w:r>
      <w:r>
        <w:rPr>
          <w:rFonts w:ascii="Times New Roman" w:hAnsi="Times New Roman" w:cs="Times New Roman"/>
          <w:sz w:val="28"/>
          <w:lang w:val="be-BY"/>
        </w:rPr>
        <w:t>энні народнага ткацтва</w:t>
      </w:r>
      <w:r w:rsidRPr="00AC509C">
        <w:rPr>
          <w:rFonts w:ascii="Times New Roman" w:hAnsi="Times New Roman" w:cs="Times New Roman"/>
          <w:sz w:val="28"/>
          <w:lang w:val="be-BY"/>
        </w:rPr>
        <w:t xml:space="preserve"> </w:t>
      </w:r>
      <w:r>
        <w:rPr>
          <w:rFonts w:ascii="Times New Roman" w:hAnsi="Times New Roman" w:cs="Times New Roman"/>
          <w:sz w:val="28"/>
          <w:lang w:val="be-BY"/>
        </w:rPr>
        <w:t>Бярозаўшчыны</w:t>
      </w:r>
      <w:r w:rsidRPr="00AC509C">
        <w:rPr>
          <w:rFonts w:ascii="Times New Roman" w:hAnsi="Times New Roman" w:cs="Times New Roman"/>
          <w:sz w:val="28"/>
          <w:lang w:val="be-BY"/>
        </w:rPr>
        <w:t xml:space="preserve"> разгортваецца ў пасляваенныя часы. У збіральніцкай </w:t>
      </w:r>
      <w:r>
        <w:rPr>
          <w:rFonts w:ascii="Times New Roman" w:hAnsi="Times New Roman" w:cs="Times New Roman"/>
          <w:sz w:val="28"/>
          <w:lang w:val="be-BY"/>
        </w:rPr>
        <w:t>і даследчыцкай</w:t>
      </w:r>
      <w:r w:rsidRPr="00AC509C">
        <w:rPr>
          <w:rFonts w:ascii="Times New Roman" w:hAnsi="Times New Roman" w:cs="Times New Roman"/>
          <w:sz w:val="28"/>
          <w:lang w:val="be-BY"/>
        </w:rPr>
        <w:t xml:space="preserve"> дзейнасці</w:t>
      </w:r>
      <w:r>
        <w:rPr>
          <w:rFonts w:ascii="Times New Roman" w:hAnsi="Times New Roman" w:cs="Times New Roman"/>
          <w:sz w:val="28"/>
          <w:lang w:val="be-BY"/>
        </w:rPr>
        <w:t xml:space="preserve"> ўсё давялося пачынаць </w:t>
      </w:r>
      <w:r w:rsidRPr="00AC509C">
        <w:rPr>
          <w:rFonts w:ascii="Times New Roman" w:hAnsi="Times New Roman" w:cs="Times New Roman"/>
          <w:sz w:val="28"/>
          <w:lang w:val="be-BY"/>
        </w:rPr>
        <w:t>спачатку</w:t>
      </w:r>
      <w:r>
        <w:rPr>
          <w:rFonts w:ascii="Times New Roman" w:hAnsi="Times New Roman" w:cs="Times New Roman"/>
          <w:sz w:val="28"/>
          <w:lang w:val="be-BY"/>
        </w:rPr>
        <w:t xml:space="preserve">. </w:t>
      </w:r>
      <w:r w:rsidR="00703A73">
        <w:rPr>
          <w:rFonts w:ascii="Times New Roman" w:hAnsi="Times New Roman" w:cs="Times New Roman"/>
          <w:sz w:val="28"/>
          <w:lang w:val="be-BY"/>
        </w:rPr>
        <w:t>Ткацтва Бярозаўскага раёна вывучалася ў рамках агульных даследаванняў Палесся, фрагментарна, на матэрыялах асобных населеных пунктаў. А</w:t>
      </w:r>
      <w:r>
        <w:rPr>
          <w:rFonts w:ascii="Times New Roman" w:hAnsi="Times New Roman" w:cs="Times New Roman"/>
          <w:sz w:val="28"/>
          <w:lang w:val="be-BY"/>
        </w:rPr>
        <w:t>собны</w:t>
      </w:r>
      <w:r w:rsidR="00351142">
        <w:rPr>
          <w:rFonts w:ascii="Times New Roman" w:hAnsi="Times New Roman" w:cs="Times New Roman"/>
          <w:sz w:val="28"/>
          <w:lang w:val="be-BY"/>
        </w:rPr>
        <w:t>я</w:t>
      </w:r>
      <w:r>
        <w:rPr>
          <w:rFonts w:ascii="Times New Roman" w:hAnsi="Times New Roman" w:cs="Times New Roman"/>
          <w:sz w:val="28"/>
          <w:lang w:val="be-BY"/>
        </w:rPr>
        <w:t xml:space="preserve"> прац</w:t>
      </w:r>
      <w:r w:rsidR="00351142">
        <w:rPr>
          <w:rFonts w:ascii="Times New Roman" w:hAnsi="Times New Roman" w:cs="Times New Roman"/>
          <w:sz w:val="28"/>
          <w:lang w:val="be-BY"/>
        </w:rPr>
        <w:t>ы</w:t>
      </w:r>
      <w:r>
        <w:rPr>
          <w:rFonts w:ascii="Times New Roman" w:hAnsi="Times New Roman" w:cs="Times New Roman"/>
          <w:sz w:val="28"/>
          <w:lang w:val="be-BY"/>
        </w:rPr>
        <w:t xml:space="preserve"> па ткацтву Бярозаў</w:t>
      </w:r>
      <w:r w:rsidR="00703A73">
        <w:rPr>
          <w:rFonts w:ascii="Times New Roman" w:hAnsi="Times New Roman" w:cs="Times New Roman"/>
          <w:sz w:val="28"/>
          <w:lang w:val="be-BY"/>
        </w:rPr>
        <w:t>шчыны не з’явіліся</w:t>
      </w:r>
      <w:r>
        <w:rPr>
          <w:rFonts w:ascii="Times New Roman" w:hAnsi="Times New Roman" w:cs="Times New Roman"/>
          <w:sz w:val="28"/>
          <w:lang w:val="be-BY"/>
        </w:rPr>
        <w:t>.</w:t>
      </w:r>
      <w:r w:rsidR="00351142">
        <w:rPr>
          <w:rFonts w:ascii="Times New Roman" w:hAnsi="Times New Roman" w:cs="Times New Roman"/>
          <w:sz w:val="28"/>
          <w:lang w:val="be-BY"/>
        </w:rPr>
        <w:t xml:space="preserve"> </w:t>
      </w:r>
    </w:p>
    <w:p w14:paraId="18084A44" w14:textId="0DB7293C" w:rsidR="00A62459" w:rsidRPr="00FE1EA8" w:rsidRDefault="00A62459" w:rsidP="00A62459">
      <w:pPr>
        <w:spacing w:after="0" w:line="240" w:lineRule="auto"/>
        <w:ind w:firstLine="709"/>
        <w:jc w:val="both"/>
        <w:rPr>
          <w:rFonts w:ascii="Times New Roman" w:hAnsi="Times New Roman" w:cs="Times New Roman"/>
          <w:sz w:val="28"/>
          <w:lang w:val="be-BY"/>
        </w:rPr>
      </w:pPr>
      <w:r w:rsidRPr="00F21167">
        <w:rPr>
          <w:rFonts w:ascii="Times New Roman" w:hAnsi="Times New Roman" w:cs="Times New Roman"/>
          <w:sz w:val="28"/>
          <w:lang w:val="be-BY"/>
        </w:rPr>
        <w:t xml:space="preserve">З упэўненасцю можна сказаць, што </w:t>
      </w:r>
      <w:r w:rsidR="00703A73">
        <w:rPr>
          <w:rFonts w:ascii="Times New Roman" w:hAnsi="Times New Roman" w:cs="Times New Roman"/>
          <w:sz w:val="28"/>
          <w:lang w:val="be-BY"/>
        </w:rPr>
        <w:t xml:space="preserve">планамернае </w:t>
      </w:r>
      <w:r w:rsidRPr="00F21167">
        <w:rPr>
          <w:rFonts w:ascii="Times New Roman" w:hAnsi="Times New Roman" w:cs="Times New Roman"/>
          <w:sz w:val="28"/>
          <w:lang w:val="be-BY"/>
        </w:rPr>
        <w:t>даследаванн</w:t>
      </w:r>
      <w:r w:rsidR="00703A73">
        <w:rPr>
          <w:rFonts w:ascii="Times New Roman" w:hAnsi="Times New Roman" w:cs="Times New Roman"/>
          <w:sz w:val="28"/>
          <w:lang w:val="be-BY"/>
        </w:rPr>
        <w:t>е традыцый</w:t>
      </w:r>
      <w:r w:rsidRPr="00F21167">
        <w:rPr>
          <w:rFonts w:ascii="Times New Roman" w:hAnsi="Times New Roman" w:cs="Times New Roman"/>
          <w:sz w:val="28"/>
          <w:lang w:val="be-BY"/>
        </w:rPr>
        <w:t xml:space="preserve"> ткацтва</w:t>
      </w:r>
      <w:r w:rsidR="00703A73">
        <w:rPr>
          <w:rFonts w:ascii="Times New Roman" w:hAnsi="Times New Roman" w:cs="Times New Roman"/>
          <w:sz w:val="28"/>
          <w:lang w:val="be-BY"/>
        </w:rPr>
        <w:t xml:space="preserve"> на</w:t>
      </w:r>
      <w:r w:rsidRPr="00F21167">
        <w:rPr>
          <w:rFonts w:ascii="Times New Roman" w:hAnsi="Times New Roman" w:cs="Times New Roman"/>
          <w:sz w:val="28"/>
          <w:lang w:val="be-BY"/>
        </w:rPr>
        <w:t xml:space="preserve"> Бярозаў</w:t>
      </w:r>
      <w:r w:rsidR="00703A73">
        <w:rPr>
          <w:rFonts w:ascii="Times New Roman" w:hAnsi="Times New Roman" w:cs="Times New Roman"/>
          <w:sz w:val="28"/>
          <w:lang w:val="be-BY"/>
        </w:rPr>
        <w:t>скай зямлі</w:t>
      </w:r>
      <w:r w:rsidRPr="00F21167">
        <w:rPr>
          <w:rFonts w:ascii="Times New Roman" w:hAnsi="Times New Roman" w:cs="Times New Roman"/>
          <w:sz w:val="28"/>
          <w:lang w:val="be-BY"/>
        </w:rPr>
        <w:t xml:space="preserve"> </w:t>
      </w:r>
      <w:r w:rsidR="00703A73">
        <w:rPr>
          <w:rFonts w:ascii="Times New Roman" w:hAnsi="Times New Roman" w:cs="Times New Roman"/>
          <w:sz w:val="28"/>
          <w:lang w:val="be-BY"/>
        </w:rPr>
        <w:t>з’яўляецца</w:t>
      </w:r>
      <w:r w:rsidRPr="00F21167">
        <w:rPr>
          <w:rFonts w:ascii="Times New Roman" w:hAnsi="Times New Roman" w:cs="Times New Roman"/>
          <w:sz w:val="28"/>
          <w:lang w:val="be-BY"/>
        </w:rPr>
        <w:t xml:space="preserve"> толькі на сучасным этапе.</w:t>
      </w:r>
      <w:r w:rsidR="00703A73">
        <w:rPr>
          <w:rFonts w:ascii="Times New Roman" w:hAnsi="Times New Roman" w:cs="Times New Roman"/>
          <w:sz w:val="28"/>
          <w:lang w:val="be-BY"/>
        </w:rPr>
        <w:t xml:space="preserve"> </w:t>
      </w:r>
      <w:r w:rsidRPr="00FE1EA8">
        <w:rPr>
          <w:rFonts w:ascii="Times New Roman" w:hAnsi="Times New Roman" w:cs="Times New Roman"/>
          <w:sz w:val="28"/>
          <w:lang w:val="be-BY"/>
        </w:rPr>
        <w:t>Адным з яркіх даследчыкаў з’яўляецца Таццяна Мікалаеўна Зданевіч, якая вядзе сваю працу і па сёнешні дзень. Яна скончыла Бабруйскае мастацкае вучылішча, аддзяленне мастацкага роспісу і інкрустацыі саломкай. А ў БДПУ ім. Максіма Танка атрымала спецыяльнасць педагога-мастака, выкладчыка народных рамёстваў. З дзяцінства займалася роспісам. Бацька Мікалай Гавенчык вучыў</w:t>
      </w:r>
      <w:r w:rsidR="00703A73">
        <w:rPr>
          <w:rFonts w:ascii="Times New Roman" w:hAnsi="Times New Roman" w:cs="Times New Roman"/>
          <w:sz w:val="28"/>
          <w:lang w:val="be-BY"/>
        </w:rPr>
        <w:t xml:space="preserve"> яе</w:t>
      </w:r>
      <w:r w:rsidRPr="00FE1EA8">
        <w:rPr>
          <w:rFonts w:ascii="Times New Roman" w:hAnsi="Times New Roman" w:cs="Times New Roman"/>
          <w:sz w:val="28"/>
          <w:lang w:val="be-BY"/>
        </w:rPr>
        <w:t xml:space="preserve"> упрыгожваць малюнкамі стульчыкі і лавачкі. Дзякуючы кнізе Я.</w:t>
      </w:r>
      <w:r w:rsidR="00703A73">
        <w:rPr>
          <w:rFonts w:ascii="Times New Roman" w:hAnsi="Times New Roman" w:cs="Times New Roman"/>
          <w:sz w:val="28"/>
          <w:lang w:val="be-BY"/>
        </w:rPr>
        <w:t> </w:t>
      </w:r>
      <w:r w:rsidRPr="00FE1EA8">
        <w:rPr>
          <w:rFonts w:ascii="Times New Roman" w:hAnsi="Times New Roman" w:cs="Times New Roman"/>
          <w:sz w:val="28"/>
          <w:lang w:val="be-BY"/>
        </w:rPr>
        <w:t>М.</w:t>
      </w:r>
      <w:r w:rsidR="00703A73">
        <w:rPr>
          <w:rFonts w:ascii="Times New Roman" w:hAnsi="Times New Roman" w:cs="Times New Roman"/>
          <w:sz w:val="28"/>
          <w:lang w:val="be-BY"/>
        </w:rPr>
        <w:t> </w:t>
      </w:r>
      <w:r w:rsidRPr="00FE1EA8">
        <w:rPr>
          <w:rFonts w:ascii="Times New Roman" w:hAnsi="Times New Roman" w:cs="Times New Roman"/>
          <w:sz w:val="28"/>
          <w:lang w:val="be-BY"/>
        </w:rPr>
        <w:t>Сахуты «Народнае мастацтва Беларусі» ў яе жыцці з’явілася ткацтва. Там Таццяна ўбачыла роспіс Алены Макоўчык з вёскі Совіна Бярозаўскага раёна і паехала да яе ў госці. Прафесару ж напісала ліст. Пасля яго адказу Таццяна Мікалаеўна зразумела, што за ткацтва трэба брацца грунтоўна. Яна знайшла дакументы ў Нацыянальнай бібліятэцы, сядзела ў краязнаўчых аддзелах, ездзіла і хадзіла пешшу па вёсках, сустракалася з бабулямі, якія захавалі розныя вырабы</w:t>
      </w:r>
      <w:r w:rsidR="00703A73">
        <w:rPr>
          <w:rFonts w:ascii="Times New Roman" w:hAnsi="Times New Roman" w:cs="Times New Roman"/>
          <w:sz w:val="28"/>
          <w:lang w:val="be-BY"/>
        </w:rPr>
        <w:t xml:space="preserve"> ткацкага рамяства</w:t>
      </w:r>
      <w:r w:rsidRPr="00FE1EA8">
        <w:rPr>
          <w:rFonts w:ascii="Times New Roman" w:hAnsi="Times New Roman" w:cs="Times New Roman"/>
          <w:sz w:val="28"/>
          <w:lang w:val="be-BY"/>
        </w:rPr>
        <w:t>.</w:t>
      </w:r>
      <w:r w:rsidR="003B4C52">
        <w:rPr>
          <w:rFonts w:ascii="Times New Roman" w:hAnsi="Times New Roman" w:cs="Times New Roman"/>
          <w:sz w:val="28"/>
          <w:lang w:val="be-BY"/>
        </w:rPr>
        <w:t xml:space="preserve"> </w:t>
      </w:r>
      <w:r w:rsidRPr="00FE1EA8">
        <w:rPr>
          <w:rFonts w:ascii="Times New Roman" w:hAnsi="Times New Roman" w:cs="Times New Roman"/>
          <w:sz w:val="28"/>
          <w:lang w:val="be-BY"/>
        </w:rPr>
        <w:t>Роспіс Таццяна Мікалаеўна называе сваёй душой, а ткацтва – святой любоўю.</w:t>
      </w:r>
    </w:p>
    <w:p w14:paraId="1115D551" w14:textId="77777777" w:rsidR="00A62459" w:rsidRPr="00FE1EA8" w:rsidRDefault="00A62459" w:rsidP="00A62459">
      <w:pPr>
        <w:spacing w:after="0" w:line="240" w:lineRule="auto"/>
        <w:ind w:firstLine="709"/>
        <w:jc w:val="both"/>
        <w:rPr>
          <w:rFonts w:ascii="Times New Roman" w:hAnsi="Times New Roman" w:cs="Times New Roman"/>
          <w:sz w:val="28"/>
          <w:lang w:val="be-BY"/>
        </w:rPr>
      </w:pPr>
      <w:r w:rsidRPr="00FE1EA8">
        <w:rPr>
          <w:rFonts w:ascii="Times New Roman" w:hAnsi="Times New Roman" w:cs="Times New Roman"/>
          <w:sz w:val="28"/>
          <w:lang w:val="be-BY"/>
        </w:rPr>
        <w:t xml:space="preserve">Больш за 20 гадоў яна вывучае ткацтва ў Бярозаўскім раёне. Адрадзіла народнае рамяство і сваімі рукамі саткала больш за чатыры сотні розных вырабаў. Майстэрства Таццяна Мікалаеўна перадае дзецям. Са сваімі дачкамі стварыла сямейны калектыў народнай творчасці «Рамонак». У Бярозаўскай дзіцячай школе мастацтваў загадвае мастацкім аддзяленнем дэкаратыўна-прыкладнога мастацтва і жывапісу, кіруе ўзорнай студыяй «Папараць». У 2015 годзе Міністэрства культуры прысвоіла педагогу званне «Народны майстар Беларусі». Яе паясы і карціны знаходзяцца ў прыватных калекцыях не толькі нашай краіны, але таксама Францыі, Германіі, Італіі, </w:t>
      </w:r>
      <w:r w:rsidRPr="00FE1EA8">
        <w:rPr>
          <w:rFonts w:ascii="Times New Roman" w:hAnsi="Times New Roman" w:cs="Times New Roman"/>
          <w:sz w:val="28"/>
          <w:lang w:val="be-BY"/>
        </w:rPr>
        <w:lastRenderedPageBreak/>
        <w:t>Польшчы і Расіі. Выхаванцы Таццяны Зданевіч – пераможцы розных конкурсаў.</w:t>
      </w:r>
    </w:p>
    <w:p w14:paraId="0DA54A43" w14:textId="53E8F04C" w:rsidR="00A62459" w:rsidRPr="00FE1EA8" w:rsidRDefault="003B4C52" w:rsidP="00A62459">
      <w:pPr>
        <w:spacing w:after="0" w:line="240" w:lineRule="auto"/>
        <w:ind w:firstLine="709"/>
        <w:jc w:val="both"/>
        <w:rPr>
          <w:rFonts w:ascii="Times New Roman" w:hAnsi="Times New Roman" w:cs="Times New Roman"/>
          <w:sz w:val="28"/>
          <w:lang w:val="be-BY"/>
        </w:rPr>
      </w:pPr>
      <w:r>
        <w:rPr>
          <w:rFonts w:ascii="Times New Roman" w:hAnsi="Times New Roman" w:cs="Times New Roman"/>
          <w:sz w:val="28"/>
          <w:lang w:val="be-BY"/>
        </w:rPr>
        <w:t>Зданевіч Т.</w:t>
      </w:r>
      <w:r w:rsidR="00A62459" w:rsidRPr="00FE1EA8">
        <w:rPr>
          <w:rFonts w:ascii="Times New Roman" w:hAnsi="Times New Roman" w:cs="Times New Roman"/>
          <w:sz w:val="28"/>
          <w:lang w:val="be-BY"/>
        </w:rPr>
        <w:t xml:space="preserve"> </w:t>
      </w:r>
      <w:r>
        <w:rPr>
          <w:rFonts w:ascii="Times New Roman" w:hAnsi="Times New Roman" w:cs="Times New Roman"/>
          <w:sz w:val="28"/>
          <w:lang w:val="be-BY"/>
        </w:rPr>
        <w:t xml:space="preserve">імкнецца спрыяць </w:t>
      </w:r>
      <w:r w:rsidR="00A62459" w:rsidRPr="00FE1EA8">
        <w:rPr>
          <w:rFonts w:ascii="Times New Roman" w:hAnsi="Times New Roman" w:cs="Times New Roman"/>
          <w:sz w:val="28"/>
          <w:lang w:val="be-BY"/>
        </w:rPr>
        <w:t>захав</w:t>
      </w:r>
      <w:r>
        <w:rPr>
          <w:rFonts w:ascii="Times New Roman" w:hAnsi="Times New Roman" w:cs="Times New Roman"/>
          <w:sz w:val="28"/>
          <w:lang w:val="be-BY"/>
        </w:rPr>
        <w:t>анню</w:t>
      </w:r>
      <w:r w:rsidR="00A62459" w:rsidRPr="00FE1EA8">
        <w:rPr>
          <w:rFonts w:ascii="Times New Roman" w:hAnsi="Times New Roman" w:cs="Times New Roman"/>
          <w:sz w:val="28"/>
          <w:lang w:val="be-BY"/>
        </w:rPr>
        <w:t xml:space="preserve"> культурн</w:t>
      </w:r>
      <w:r>
        <w:rPr>
          <w:rFonts w:ascii="Times New Roman" w:hAnsi="Times New Roman" w:cs="Times New Roman"/>
          <w:sz w:val="28"/>
          <w:lang w:val="be-BY"/>
        </w:rPr>
        <w:t>ай</w:t>
      </w:r>
      <w:r w:rsidR="00A62459" w:rsidRPr="00FE1EA8">
        <w:rPr>
          <w:rFonts w:ascii="Times New Roman" w:hAnsi="Times New Roman" w:cs="Times New Roman"/>
          <w:sz w:val="28"/>
          <w:lang w:val="be-BY"/>
        </w:rPr>
        <w:t xml:space="preserve"> спадчын</w:t>
      </w:r>
      <w:r>
        <w:rPr>
          <w:rFonts w:ascii="Times New Roman" w:hAnsi="Times New Roman" w:cs="Times New Roman"/>
          <w:sz w:val="28"/>
          <w:lang w:val="be-BY"/>
        </w:rPr>
        <w:t>ы</w:t>
      </w:r>
      <w:r w:rsidR="00A62459" w:rsidRPr="00FE1EA8">
        <w:rPr>
          <w:rFonts w:ascii="Times New Roman" w:hAnsi="Times New Roman" w:cs="Times New Roman"/>
          <w:sz w:val="28"/>
          <w:lang w:val="be-BY"/>
        </w:rPr>
        <w:t xml:space="preserve"> нашых продкаў. Па сваіх матэрыялах Таццяна Мікалаеўна стварае розныя альбомы і арганізаўвае выста</w:t>
      </w:r>
      <w:r>
        <w:rPr>
          <w:rFonts w:ascii="Times New Roman" w:hAnsi="Times New Roman" w:cs="Times New Roman"/>
          <w:sz w:val="28"/>
          <w:lang w:val="be-BY"/>
        </w:rPr>
        <w:t>вы</w:t>
      </w:r>
      <w:r w:rsidR="00A62459" w:rsidRPr="00FE1EA8">
        <w:rPr>
          <w:rFonts w:ascii="Times New Roman" w:hAnsi="Times New Roman" w:cs="Times New Roman"/>
          <w:sz w:val="28"/>
          <w:lang w:val="be-BY"/>
        </w:rPr>
        <w:t xml:space="preserve"> вынік</w:t>
      </w:r>
      <w:r>
        <w:rPr>
          <w:rFonts w:ascii="Times New Roman" w:hAnsi="Times New Roman" w:cs="Times New Roman"/>
          <w:sz w:val="28"/>
          <w:lang w:val="be-BY"/>
        </w:rPr>
        <w:t>аў</w:t>
      </w:r>
      <w:r w:rsidR="00A62459" w:rsidRPr="00FE1EA8">
        <w:rPr>
          <w:rFonts w:ascii="Times New Roman" w:hAnsi="Times New Roman" w:cs="Times New Roman"/>
          <w:sz w:val="28"/>
          <w:lang w:val="be-BY"/>
        </w:rPr>
        <w:t xml:space="preserve"> сваёй працы. Неаднаразова аб ёй пісалі ў газетах і выпускалі рэпартажы на тэлебачанні.</w:t>
      </w:r>
    </w:p>
    <w:p w14:paraId="191EAAE8" w14:textId="57BB8F1F" w:rsidR="00A62459" w:rsidRDefault="003B4C52" w:rsidP="00A62459">
      <w:pPr>
        <w:spacing w:after="0" w:line="240" w:lineRule="auto"/>
        <w:ind w:firstLine="709"/>
        <w:jc w:val="both"/>
        <w:rPr>
          <w:rFonts w:ascii="Times New Roman" w:hAnsi="Times New Roman" w:cs="Times New Roman"/>
          <w:sz w:val="28"/>
          <w:lang w:val="be-BY"/>
        </w:rPr>
      </w:pPr>
      <w:r>
        <w:rPr>
          <w:rFonts w:ascii="Times New Roman" w:hAnsi="Times New Roman" w:cs="Times New Roman"/>
          <w:sz w:val="28"/>
          <w:lang w:val="be-BY"/>
        </w:rPr>
        <w:t>Неабходна адзначыць, што</w:t>
      </w:r>
      <w:r w:rsidR="00A62459" w:rsidRPr="00FE1EA8">
        <w:rPr>
          <w:rFonts w:ascii="Times New Roman" w:hAnsi="Times New Roman" w:cs="Times New Roman"/>
          <w:sz w:val="28"/>
          <w:lang w:val="be-BY"/>
        </w:rPr>
        <w:t xml:space="preserve"> вялікую працу па адраджэнн</w:t>
      </w:r>
      <w:r>
        <w:rPr>
          <w:rFonts w:ascii="Times New Roman" w:hAnsi="Times New Roman" w:cs="Times New Roman"/>
          <w:sz w:val="28"/>
          <w:lang w:val="be-BY"/>
        </w:rPr>
        <w:t>ю</w:t>
      </w:r>
      <w:r w:rsidR="00A62459" w:rsidRPr="00FE1EA8">
        <w:rPr>
          <w:rFonts w:ascii="Times New Roman" w:hAnsi="Times New Roman" w:cs="Times New Roman"/>
          <w:sz w:val="28"/>
          <w:lang w:val="be-BY"/>
        </w:rPr>
        <w:t xml:space="preserve"> і захаванн</w:t>
      </w:r>
      <w:r>
        <w:rPr>
          <w:rFonts w:ascii="Times New Roman" w:hAnsi="Times New Roman" w:cs="Times New Roman"/>
          <w:sz w:val="28"/>
          <w:lang w:val="be-BY"/>
        </w:rPr>
        <w:t>ю</w:t>
      </w:r>
      <w:r w:rsidR="00A62459" w:rsidRPr="00FE1EA8">
        <w:rPr>
          <w:rFonts w:ascii="Times New Roman" w:hAnsi="Times New Roman" w:cs="Times New Roman"/>
          <w:sz w:val="28"/>
          <w:lang w:val="be-BY"/>
        </w:rPr>
        <w:t xml:space="preserve"> ткацтва вядзе Бярозаўскі раённы цэнтр рамёстваў пад кіраўніцтвам Наталлі Іванаўны Кавалевіч. Тут можна пазнаёміцца з традыцыйнымі для Беларусі тэхналогіямі ткацтва. У адным кабінеце стаяць некалькі арыгінальных станкоў у працоўным стане, на іх мясцовыя майстрыхі ткуць вопратку на заказ. Дапоўніўшы ільняны выраб ручной вышыўкай, можна атрымаць «сапраўдную вышыванку». Тут часта заказваюць пашыў народных касцюмаў для выступаў. У </w:t>
      </w:r>
      <w:r>
        <w:rPr>
          <w:rFonts w:ascii="Times New Roman" w:hAnsi="Times New Roman" w:cs="Times New Roman"/>
          <w:sz w:val="28"/>
          <w:lang w:val="be-BY"/>
        </w:rPr>
        <w:t>Ц</w:t>
      </w:r>
      <w:r w:rsidR="00A62459" w:rsidRPr="00FE1EA8">
        <w:rPr>
          <w:rFonts w:ascii="Times New Roman" w:hAnsi="Times New Roman" w:cs="Times New Roman"/>
          <w:sz w:val="28"/>
          <w:lang w:val="be-BY"/>
        </w:rPr>
        <w:t>энтры знаходзіцца вялікая калекцыя ткацкіх матэрыялаў, сабраных падчас экспедыцый па Бярозаўскім ра</w:t>
      </w:r>
      <w:r>
        <w:rPr>
          <w:rFonts w:ascii="Times New Roman" w:hAnsi="Times New Roman" w:cs="Times New Roman"/>
          <w:sz w:val="28"/>
          <w:lang w:val="be-BY"/>
        </w:rPr>
        <w:t>ё</w:t>
      </w:r>
      <w:r w:rsidR="00A62459" w:rsidRPr="00FE1EA8">
        <w:rPr>
          <w:rFonts w:ascii="Times New Roman" w:hAnsi="Times New Roman" w:cs="Times New Roman"/>
          <w:sz w:val="28"/>
          <w:lang w:val="be-BY"/>
        </w:rPr>
        <w:t>не.</w:t>
      </w:r>
    </w:p>
    <w:p w14:paraId="488F5375" w14:textId="2DD21056" w:rsidR="00A62459" w:rsidRPr="000238BD" w:rsidRDefault="00A62459" w:rsidP="00A62459">
      <w:pPr>
        <w:spacing w:after="0" w:line="240" w:lineRule="auto"/>
        <w:ind w:firstLine="709"/>
        <w:jc w:val="both"/>
        <w:rPr>
          <w:rFonts w:ascii="Times New Roman" w:hAnsi="Times New Roman" w:cs="Times New Roman"/>
          <w:sz w:val="28"/>
          <w:lang w:val="be-BY"/>
        </w:rPr>
      </w:pPr>
      <w:r>
        <w:rPr>
          <w:rFonts w:ascii="Times New Roman" w:hAnsi="Times New Roman" w:cs="Times New Roman"/>
          <w:sz w:val="28"/>
          <w:lang w:val="be-BY"/>
        </w:rPr>
        <w:t xml:space="preserve">Такім чынам, </w:t>
      </w:r>
      <w:r w:rsidR="003B4C52">
        <w:rPr>
          <w:rFonts w:ascii="Times New Roman" w:hAnsi="Times New Roman" w:cs="Times New Roman"/>
          <w:sz w:val="28"/>
          <w:lang w:val="be-BY"/>
        </w:rPr>
        <w:t>спроба</w:t>
      </w:r>
      <w:r w:rsidRPr="000238BD">
        <w:rPr>
          <w:rFonts w:ascii="Times New Roman" w:hAnsi="Times New Roman" w:cs="Times New Roman"/>
          <w:sz w:val="28"/>
          <w:lang w:val="be-BY"/>
        </w:rPr>
        <w:t xml:space="preserve"> агля</w:t>
      </w:r>
      <w:r>
        <w:rPr>
          <w:rFonts w:ascii="Times New Roman" w:hAnsi="Times New Roman" w:cs="Times New Roman"/>
          <w:sz w:val="28"/>
          <w:lang w:val="be-BY"/>
        </w:rPr>
        <w:t>д</w:t>
      </w:r>
      <w:r w:rsidR="003B4C52">
        <w:rPr>
          <w:rFonts w:ascii="Times New Roman" w:hAnsi="Times New Roman" w:cs="Times New Roman"/>
          <w:sz w:val="28"/>
          <w:lang w:val="be-BY"/>
        </w:rPr>
        <w:t>у</w:t>
      </w:r>
      <w:r>
        <w:rPr>
          <w:rFonts w:ascii="Times New Roman" w:hAnsi="Times New Roman" w:cs="Times New Roman"/>
          <w:sz w:val="28"/>
          <w:lang w:val="be-BY"/>
        </w:rPr>
        <w:t xml:space="preserve"> </w:t>
      </w:r>
      <w:r w:rsidR="003B4C52">
        <w:rPr>
          <w:rFonts w:ascii="Times New Roman" w:hAnsi="Times New Roman" w:cs="Times New Roman"/>
          <w:sz w:val="28"/>
          <w:lang w:val="be-BY"/>
        </w:rPr>
        <w:t xml:space="preserve">гісторыі </w:t>
      </w:r>
      <w:r>
        <w:rPr>
          <w:rFonts w:ascii="Times New Roman" w:hAnsi="Times New Roman" w:cs="Times New Roman"/>
          <w:sz w:val="28"/>
          <w:lang w:val="be-BY"/>
        </w:rPr>
        <w:t xml:space="preserve">ткацтва </w:t>
      </w:r>
      <w:r w:rsidRPr="000238BD">
        <w:rPr>
          <w:rFonts w:ascii="Times New Roman" w:hAnsi="Times New Roman" w:cs="Times New Roman"/>
          <w:sz w:val="28"/>
          <w:lang w:val="be-BY"/>
        </w:rPr>
        <w:t>ў Бярозаўскім раёне</w:t>
      </w:r>
      <w:r w:rsidR="003B4C52">
        <w:rPr>
          <w:rFonts w:ascii="Times New Roman" w:hAnsi="Times New Roman" w:cs="Times New Roman"/>
          <w:sz w:val="28"/>
          <w:lang w:val="be-BY"/>
        </w:rPr>
        <w:t xml:space="preserve"> дазволіла зрабіць высновы, што ўвогуле</w:t>
      </w:r>
      <w:r w:rsidRPr="000238BD">
        <w:rPr>
          <w:rFonts w:ascii="Times New Roman" w:hAnsi="Times New Roman" w:cs="Times New Roman"/>
          <w:sz w:val="28"/>
          <w:lang w:val="be-BY"/>
        </w:rPr>
        <w:t xml:space="preserve"> вывучэнне гэтай тэмы пачалося адносна нядаўна (з XIX ст.), а гістарычныя падзеі XX ст. былі вельмі </w:t>
      </w:r>
      <w:r w:rsidR="003B4C52">
        <w:rPr>
          <w:rFonts w:ascii="Times New Roman" w:hAnsi="Times New Roman" w:cs="Times New Roman"/>
          <w:sz w:val="28"/>
          <w:lang w:val="be-BY"/>
        </w:rPr>
        <w:t>істотна ўплывлі на даследаванні, а ў некаторыя перыяды</w:t>
      </w:r>
      <w:r w:rsidRPr="000238BD">
        <w:rPr>
          <w:rFonts w:ascii="Times New Roman" w:hAnsi="Times New Roman" w:cs="Times New Roman"/>
          <w:sz w:val="28"/>
          <w:lang w:val="be-BY"/>
        </w:rPr>
        <w:t xml:space="preserve"> і тармазілі даследчую дзейнасць</w:t>
      </w:r>
      <w:r w:rsidR="003B4C52">
        <w:rPr>
          <w:rFonts w:ascii="Times New Roman" w:hAnsi="Times New Roman" w:cs="Times New Roman"/>
          <w:sz w:val="28"/>
          <w:lang w:val="be-BY"/>
        </w:rPr>
        <w:t>.</w:t>
      </w:r>
      <w:r w:rsidRPr="000238BD">
        <w:rPr>
          <w:rFonts w:ascii="Times New Roman" w:hAnsi="Times New Roman" w:cs="Times New Roman"/>
          <w:sz w:val="28"/>
          <w:lang w:val="be-BY"/>
        </w:rPr>
        <w:t xml:space="preserve"> </w:t>
      </w:r>
      <w:r w:rsidR="003B4C52">
        <w:rPr>
          <w:rFonts w:ascii="Times New Roman" w:hAnsi="Times New Roman" w:cs="Times New Roman"/>
          <w:sz w:val="28"/>
          <w:lang w:val="be-BY"/>
        </w:rPr>
        <w:t>Зыходзячы з вынікаў даследавання можна сцвярджаць</w:t>
      </w:r>
      <w:r w:rsidRPr="000238BD">
        <w:rPr>
          <w:rFonts w:ascii="Times New Roman" w:hAnsi="Times New Roman" w:cs="Times New Roman"/>
          <w:sz w:val="28"/>
          <w:lang w:val="be-BY"/>
        </w:rPr>
        <w:t xml:space="preserve">, што толькі </w:t>
      </w:r>
      <w:r w:rsidR="003B4C52">
        <w:rPr>
          <w:rFonts w:ascii="Times New Roman" w:hAnsi="Times New Roman" w:cs="Times New Roman"/>
          <w:sz w:val="28"/>
          <w:lang w:val="be-BY"/>
        </w:rPr>
        <w:t xml:space="preserve">на сучасным этапе </w:t>
      </w:r>
      <w:r w:rsidRPr="000238BD">
        <w:rPr>
          <w:rFonts w:ascii="Times New Roman" w:hAnsi="Times New Roman" w:cs="Times New Roman"/>
          <w:sz w:val="28"/>
          <w:lang w:val="be-BY"/>
        </w:rPr>
        <w:t xml:space="preserve">пачынаюцца </w:t>
      </w:r>
      <w:r w:rsidR="003B4C52">
        <w:rPr>
          <w:rFonts w:ascii="Times New Roman" w:hAnsi="Times New Roman" w:cs="Times New Roman"/>
          <w:sz w:val="28"/>
          <w:lang w:val="be-BY"/>
        </w:rPr>
        <w:t xml:space="preserve">вузкарэгіянальныя </w:t>
      </w:r>
      <w:r w:rsidRPr="000238BD">
        <w:rPr>
          <w:rFonts w:ascii="Times New Roman" w:hAnsi="Times New Roman" w:cs="Times New Roman"/>
          <w:sz w:val="28"/>
          <w:lang w:val="be-BY"/>
        </w:rPr>
        <w:t>спробы збору інфармацыі і захава</w:t>
      </w:r>
      <w:r w:rsidR="00743D82">
        <w:rPr>
          <w:rFonts w:ascii="Times New Roman" w:hAnsi="Times New Roman" w:cs="Times New Roman"/>
          <w:sz w:val="28"/>
          <w:lang w:val="be-BY"/>
        </w:rPr>
        <w:t>ўшыхся</w:t>
      </w:r>
      <w:r w:rsidRPr="000238BD">
        <w:rPr>
          <w:rFonts w:ascii="Times New Roman" w:hAnsi="Times New Roman" w:cs="Times New Roman"/>
          <w:sz w:val="28"/>
          <w:lang w:val="be-BY"/>
        </w:rPr>
        <w:t xml:space="preserve"> ткацкіх вырабаў</w:t>
      </w:r>
      <w:r w:rsidR="00743D82">
        <w:rPr>
          <w:rFonts w:ascii="Times New Roman" w:hAnsi="Times New Roman" w:cs="Times New Roman"/>
          <w:sz w:val="28"/>
          <w:lang w:val="be-BY"/>
        </w:rPr>
        <w:t>, а таксама</w:t>
      </w:r>
      <w:r w:rsidRPr="000238BD">
        <w:rPr>
          <w:rFonts w:ascii="Times New Roman" w:hAnsi="Times New Roman" w:cs="Times New Roman"/>
          <w:sz w:val="28"/>
          <w:lang w:val="be-BY"/>
        </w:rPr>
        <w:t xml:space="preserve"> афармленн</w:t>
      </w:r>
      <w:r w:rsidR="00743D82">
        <w:rPr>
          <w:rFonts w:ascii="Times New Roman" w:hAnsi="Times New Roman" w:cs="Times New Roman"/>
          <w:sz w:val="28"/>
          <w:lang w:val="be-BY"/>
        </w:rPr>
        <w:t>е</w:t>
      </w:r>
      <w:r w:rsidRPr="000238BD">
        <w:rPr>
          <w:rFonts w:ascii="Times New Roman" w:hAnsi="Times New Roman" w:cs="Times New Roman"/>
          <w:sz w:val="28"/>
          <w:lang w:val="be-BY"/>
        </w:rPr>
        <w:t xml:space="preserve"> ў асобныя працы гэтых матэрыялаў. </w:t>
      </w:r>
    </w:p>
    <w:p w14:paraId="3D818CCA" w14:textId="069C2DB8" w:rsidR="00A62459" w:rsidRDefault="00A62459" w:rsidP="00A62459">
      <w:pPr>
        <w:spacing w:after="0" w:line="240" w:lineRule="auto"/>
        <w:ind w:firstLine="709"/>
        <w:jc w:val="both"/>
        <w:rPr>
          <w:rFonts w:ascii="Times New Roman" w:hAnsi="Times New Roman" w:cs="Times New Roman"/>
          <w:sz w:val="28"/>
          <w:lang w:val="be-BY"/>
        </w:rPr>
      </w:pPr>
      <w:r w:rsidRPr="00743D82">
        <w:rPr>
          <w:rFonts w:ascii="Times New Roman" w:hAnsi="Times New Roman" w:cs="Times New Roman"/>
          <w:sz w:val="28"/>
          <w:lang w:val="be-BY"/>
        </w:rPr>
        <w:t xml:space="preserve">Агляд гістарыяграфіі паказаў наяўнасць даследчых лакун у галіне вывучэння ткацтва на тэрыторыі Беларусі, у </w:t>
      </w:r>
      <w:r w:rsidR="00743D82" w:rsidRPr="00743D82">
        <w:rPr>
          <w:rFonts w:ascii="Times New Roman" w:hAnsi="Times New Roman" w:cs="Times New Roman"/>
          <w:sz w:val="28"/>
          <w:lang w:val="be-BY"/>
        </w:rPr>
        <w:t>прватнасці</w:t>
      </w:r>
      <w:r w:rsidRPr="00743D82">
        <w:rPr>
          <w:rFonts w:ascii="Times New Roman" w:hAnsi="Times New Roman" w:cs="Times New Roman"/>
          <w:sz w:val="28"/>
          <w:lang w:val="be-BY"/>
        </w:rPr>
        <w:t xml:space="preserve"> </w:t>
      </w:r>
      <w:r w:rsidR="00743D82" w:rsidRPr="00743D82">
        <w:rPr>
          <w:rFonts w:ascii="Times New Roman" w:hAnsi="Times New Roman" w:cs="Times New Roman"/>
          <w:sz w:val="28"/>
          <w:lang w:val="be-BY"/>
        </w:rPr>
        <w:t>ткацтва</w:t>
      </w:r>
      <w:r w:rsidRPr="00743D82">
        <w:rPr>
          <w:rFonts w:ascii="Times New Roman" w:hAnsi="Times New Roman" w:cs="Times New Roman"/>
          <w:sz w:val="28"/>
          <w:lang w:val="be-BY"/>
        </w:rPr>
        <w:t xml:space="preserve"> Бярозаўск</w:t>
      </w:r>
      <w:r w:rsidR="00743D82" w:rsidRPr="00743D82">
        <w:rPr>
          <w:rFonts w:ascii="Times New Roman" w:hAnsi="Times New Roman" w:cs="Times New Roman"/>
          <w:sz w:val="28"/>
          <w:lang w:val="be-BY"/>
        </w:rPr>
        <w:t>ага</w:t>
      </w:r>
      <w:r w:rsidRPr="00743D82">
        <w:rPr>
          <w:rFonts w:ascii="Times New Roman" w:hAnsi="Times New Roman" w:cs="Times New Roman"/>
          <w:sz w:val="28"/>
          <w:lang w:val="be-BY"/>
        </w:rPr>
        <w:t xml:space="preserve"> раён</w:t>
      </w:r>
      <w:r w:rsidR="00743D82" w:rsidRPr="00743D82">
        <w:rPr>
          <w:rFonts w:ascii="Times New Roman" w:hAnsi="Times New Roman" w:cs="Times New Roman"/>
          <w:sz w:val="28"/>
          <w:lang w:val="be-BY"/>
        </w:rPr>
        <w:t>а</w:t>
      </w:r>
      <w:r w:rsidRPr="00743D82">
        <w:rPr>
          <w:rFonts w:ascii="Times New Roman" w:hAnsi="Times New Roman" w:cs="Times New Roman"/>
          <w:sz w:val="28"/>
          <w:lang w:val="be-BY"/>
        </w:rPr>
        <w:t xml:space="preserve">. У наш час узрастае інтарэс да </w:t>
      </w:r>
      <w:r w:rsidR="00743D82" w:rsidRPr="00743D82">
        <w:rPr>
          <w:rFonts w:ascii="Times New Roman" w:hAnsi="Times New Roman" w:cs="Times New Roman"/>
          <w:sz w:val="28"/>
          <w:lang w:val="be-BY"/>
        </w:rPr>
        <w:t xml:space="preserve">традыцый </w:t>
      </w:r>
      <w:r w:rsidRPr="00743D82">
        <w:rPr>
          <w:rFonts w:ascii="Times New Roman" w:hAnsi="Times New Roman" w:cs="Times New Roman"/>
          <w:sz w:val="28"/>
          <w:lang w:val="be-BY"/>
        </w:rPr>
        <w:t>ткацтва, ідзе яго адраджэнне</w:t>
      </w:r>
      <w:r w:rsidR="00743D82" w:rsidRPr="00743D82">
        <w:rPr>
          <w:rFonts w:ascii="Times New Roman" w:hAnsi="Times New Roman" w:cs="Times New Roman"/>
          <w:sz w:val="28"/>
          <w:lang w:val="be-BY"/>
        </w:rPr>
        <w:t>, т</w:t>
      </w:r>
      <w:r w:rsidRPr="00743D82">
        <w:rPr>
          <w:rFonts w:ascii="Times New Roman" w:hAnsi="Times New Roman" w:cs="Times New Roman"/>
          <w:sz w:val="28"/>
          <w:lang w:val="be-BY"/>
        </w:rPr>
        <w:t>аму гэта</w:t>
      </w:r>
      <w:r w:rsidR="00743D82" w:rsidRPr="00743D82">
        <w:rPr>
          <w:rFonts w:ascii="Times New Roman" w:hAnsi="Times New Roman" w:cs="Times New Roman"/>
          <w:sz w:val="28"/>
          <w:lang w:val="be-BY"/>
        </w:rPr>
        <w:t>я</w:t>
      </w:r>
      <w:r w:rsidRPr="00743D82">
        <w:rPr>
          <w:rFonts w:ascii="Times New Roman" w:hAnsi="Times New Roman" w:cs="Times New Roman"/>
          <w:sz w:val="28"/>
          <w:lang w:val="be-BY"/>
        </w:rPr>
        <w:t xml:space="preserve"> тэма </w:t>
      </w:r>
      <w:r w:rsidR="00743D82" w:rsidRPr="00743D82">
        <w:rPr>
          <w:rFonts w:ascii="Times New Roman" w:hAnsi="Times New Roman" w:cs="Times New Roman"/>
          <w:sz w:val="28"/>
          <w:lang w:val="be-BY"/>
        </w:rPr>
        <w:t>з’яўляецца</w:t>
      </w:r>
      <w:r w:rsidRPr="00743D82">
        <w:rPr>
          <w:rFonts w:ascii="Times New Roman" w:hAnsi="Times New Roman" w:cs="Times New Roman"/>
          <w:sz w:val="28"/>
          <w:lang w:val="be-BY"/>
        </w:rPr>
        <w:t xml:space="preserve"> актуальнай</w:t>
      </w:r>
      <w:r w:rsidR="00743D82" w:rsidRPr="00743D82">
        <w:rPr>
          <w:rFonts w:ascii="Times New Roman" w:hAnsi="Times New Roman" w:cs="Times New Roman"/>
          <w:sz w:val="28"/>
          <w:lang w:val="be-BY"/>
        </w:rPr>
        <w:t xml:space="preserve"> для вывучэння</w:t>
      </w:r>
      <w:r w:rsidRPr="00743D82">
        <w:rPr>
          <w:rFonts w:ascii="Times New Roman" w:hAnsi="Times New Roman" w:cs="Times New Roman"/>
          <w:sz w:val="28"/>
          <w:lang w:val="be-BY"/>
        </w:rPr>
        <w:t>.</w:t>
      </w:r>
    </w:p>
    <w:p w14:paraId="4E793316" w14:textId="77777777" w:rsidR="006C67F2" w:rsidRDefault="006C67F2" w:rsidP="00A62459">
      <w:pPr>
        <w:spacing w:after="0" w:line="240" w:lineRule="auto"/>
        <w:ind w:firstLine="709"/>
        <w:jc w:val="both"/>
        <w:rPr>
          <w:rFonts w:ascii="Times New Roman" w:hAnsi="Times New Roman" w:cs="Times New Roman"/>
          <w:sz w:val="28"/>
          <w:lang w:val="be-BY"/>
        </w:rPr>
      </w:pPr>
    </w:p>
    <w:p w14:paraId="1AA9AFAE" w14:textId="77777777" w:rsidR="006C67F2" w:rsidRDefault="006C67F2" w:rsidP="00A62459">
      <w:pPr>
        <w:spacing w:after="0" w:line="240" w:lineRule="auto"/>
        <w:ind w:firstLine="709"/>
        <w:jc w:val="both"/>
        <w:rPr>
          <w:rFonts w:ascii="Times New Roman" w:hAnsi="Times New Roman" w:cs="Times New Roman"/>
          <w:sz w:val="28"/>
          <w:lang w:val="be-BY"/>
        </w:rPr>
      </w:pPr>
    </w:p>
    <w:p w14:paraId="6CFFF2E1" w14:textId="5027FBBF" w:rsidR="00A62459" w:rsidRPr="006C67F2" w:rsidRDefault="00A62459" w:rsidP="006F6A4F">
      <w:pPr>
        <w:pStyle w:val="8"/>
        <w:numPr>
          <w:ilvl w:val="0"/>
          <w:numId w:val="18"/>
        </w:numPr>
        <w:ind w:left="0" w:firstLine="709"/>
      </w:pPr>
      <w:r w:rsidRPr="006C67F2">
        <w:t>Лабачэўская, В. А. Збеpагаючы самабытнасць: з гiстоpыi наpодных мастацкiх промысаў Беларусi (1920–1960-я гады) / В. А. Лабачэўская // Мастацтва Белаpусi. – 1988. – № 6. – С. 68–70.</w:t>
      </w:r>
    </w:p>
    <w:p w14:paraId="32159833" w14:textId="29336414" w:rsidR="00A62459" w:rsidRPr="006C67F2" w:rsidRDefault="00A62459" w:rsidP="006C67F2">
      <w:pPr>
        <w:pStyle w:val="8"/>
      </w:pPr>
      <w:r w:rsidRPr="006C67F2">
        <w:t>Память : ист.-докум. Хроника Березовского р-на / редкол. : В. В. Андриевич [и др.]. – 2-е изд., перераб. и доп. – Минск : Беларус. Энцыкл. імя П. Броўкі, 2014. – 584 с.</w:t>
      </w:r>
    </w:p>
    <w:p w14:paraId="017CBD1D" w14:textId="6857E74C" w:rsidR="00A62459" w:rsidRPr="006C67F2" w:rsidRDefault="00A62459" w:rsidP="006C67F2">
      <w:pPr>
        <w:pStyle w:val="8"/>
      </w:pPr>
      <w:r w:rsidRPr="006C67F2">
        <w:t>Романов, Е. Р. Внешний быт Быховского белоруса / Е. Р. Романов // Зап. Северо-Западного отд. Имп. рус. геогр. о-ва. – Вильна, 1911. Кн. 2. – С. 75.</w:t>
      </w:r>
    </w:p>
    <w:p w14:paraId="296FBA2F" w14:textId="499F774C" w:rsidR="00A62459" w:rsidRPr="006C67F2" w:rsidRDefault="00A62459" w:rsidP="006C67F2">
      <w:pPr>
        <w:pStyle w:val="8"/>
      </w:pPr>
      <w:r w:rsidRPr="006C67F2">
        <w:t>Baudoin de Courtenay-Ehrenkreutz-Jędrzejewiczowa, С. Łańcuch tradycji: teksty wybrane / Cezaria Baudoin de Courtenay-Ehrenkreutz-Jędrzejewiczowa; wybor Lech Mróz, Anna Zadrożyńska. – Warszawa : W-wo Uniwersitetu Warszawskiego, 2005. – 406 s.</w:t>
      </w:r>
    </w:p>
    <w:p w14:paraId="3E465CD7" w14:textId="4CB066BF" w:rsidR="00A62459" w:rsidRPr="006C67F2" w:rsidRDefault="00A62459" w:rsidP="006C67F2">
      <w:pPr>
        <w:pStyle w:val="8"/>
      </w:pPr>
      <w:r w:rsidRPr="006C67F2">
        <w:t>Moszyński, K. Kultura ludowa słowian / Kazimier Moszyński. – 2 wyd. – Warszawa : Książka i Wiedza, 1967. – T. I : Kultura materialna. – 746 s.</w:t>
      </w:r>
    </w:p>
    <w:p w14:paraId="2C647930" w14:textId="788B5140" w:rsidR="00A62459" w:rsidRPr="006C67F2" w:rsidRDefault="00A62459" w:rsidP="006C67F2">
      <w:pPr>
        <w:pStyle w:val="8"/>
      </w:pPr>
      <w:r w:rsidRPr="006C67F2">
        <w:lastRenderedPageBreak/>
        <w:t>Orynżyna, J. Przemysł ludowy w Polsce / Jаnina Orynżyna. – Warszawa : Nakladem “Tygodnika Polska Gospodarcza”, 1937. – 279 s.</w:t>
      </w:r>
    </w:p>
    <w:p w14:paraId="2589F6C3" w14:textId="715FF7DC" w:rsidR="00A62459" w:rsidRPr="006C67F2" w:rsidRDefault="00A62459" w:rsidP="006C67F2">
      <w:pPr>
        <w:pStyle w:val="8"/>
      </w:pPr>
      <w:r w:rsidRPr="006C67F2">
        <w:t>Orynżyna J. Przemysł ludowy w województwach Wileńskim, Nowogrodskim, Poleskiem i Wołynskiem. – Warszawa : Drukarnia Artystyczna, 1927. – 272 s.</w:t>
      </w:r>
    </w:p>
    <w:p w14:paraId="38CC65E4" w14:textId="39E084B5" w:rsidR="00A62459" w:rsidRPr="006C67F2" w:rsidRDefault="00A62459" w:rsidP="006C67F2">
      <w:pPr>
        <w:pStyle w:val="8"/>
      </w:pPr>
      <w:r w:rsidRPr="006C67F2">
        <w:t>Orynżyna J. Przemysł ludowy w Polsce. – Warszawa, 1937. – 46 s.</w:t>
      </w:r>
    </w:p>
    <w:p w14:paraId="146DA782" w14:textId="4C7D278B" w:rsidR="00A62459" w:rsidRPr="006C67F2" w:rsidRDefault="00A62459" w:rsidP="006C67F2">
      <w:pPr>
        <w:pStyle w:val="8"/>
      </w:pPr>
      <w:r w:rsidRPr="006C67F2">
        <w:t>Schrammówna, H. O wartośći artystycznej samodziałоw ludowych na Wileńszczyznie / H. Schrammówna. – Wilno, 1927. – 10 s</w:t>
      </w:r>
    </w:p>
    <w:p w14:paraId="4DBFEB3C" w14:textId="7C8A2010" w:rsidR="00A62459" w:rsidRPr="006C67F2" w:rsidRDefault="00A62459" w:rsidP="006C67F2">
      <w:pPr>
        <w:pStyle w:val="8"/>
      </w:pPr>
      <w:r w:rsidRPr="006C67F2">
        <w:t>Turkowski, L. Tkactwo ludowe a rzemiosło tkackie w Wileńskiеm i Nowógrоdzkiem / L. Turkowski // Rocznik Muzeum Narodowe Rolnictwa w Szreniawie. – Poznań, 1984. – T. 14. – S. 151–251.</w:t>
      </w:r>
    </w:p>
    <w:p w14:paraId="7E827D5E" w14:textId="77777777" w:rsidR="0082440F" w:rsidRPr="00F7633C" w:rsidRDefault="0082440F" w:rsidP="00E25B19">
      <w:pPr>
        <w:spacing w:after="0" w:line="240" w:lineRule="auto"/>
        <w:jc w:val="both"/>
        <w:rPr>
          <w:rFonts w:ascii="Times New Roman" w:hAnsi="Times New Roman" w:cs="Times New Roman"/>
          <w:sz w:val="28"/>
          <w:szCs w:val="28"/>
          <w:lang w:val="be-BY"/>
        </w:rPr>
      </w:pPr>
    </w:p>
    <w:p w14:paraId="0485CFD7" w14:textId="77777777" w:rsidR="009D63FE" w:rsidRPr="009D63FE" w:rsidRDefault="000C69B3" w:rsidP="00E25B19">
      <w:pPr>
        <w:pStyle w:val="Standard"/>
        <w:jc w:val="center"/>
        <w:rPr>
          <w:i/>
          <w:lang w:val="be-BY"/>
        </w:rPr>
      </w:pPr>
      <w:hyperlink w:anchor="_СОДЕРЖАНИЕ" w:history="1">
        <w:r w:rsidR="009D63FE" w:rsidRPr="009D63FE">
          <w:rPr>
            <w:rStyle w:val="a9"/>
            <w:rFonts w:ascii="Times New Roman" w:hAnsi="Times New Roman" w:cs="Times New Roman"/>
            <w:i/>
            <w:color w:val="auto"/>
            <w:sz w:val="28"/>
            <w:szCs w:val="28"/>
            <w:u w:val="none"/>
            <w:lang w:val="be-BY"/>
          </w:rPr>
          <w:t>К содержанию</w:t>
        </w:r>
      </w:hyperlink>
    </w:p>
    <w:p w14:paraId="67D5874C" w14:textId="77777777" w:rsidR="0082440F" w:rsidRPr="00F7633C" w:rsidRDefault="0082440F" w:rsidP="00E25B19">
      <w:pPr>
        <w:spacing w:after="0" w:line="240" w:lineRule="auto"/>
        <w:jc w:val="both"/>
        <w:rPr>
          <w:rFonts w:ascii="Times New Roman" w:hAnsi="Times New Roman" w:cs="Times New Roman"/>
          <w:sz w:val="28"/>
          <w:szCs w:val="28"/>
          <w:lang w:val="be-BY"/>
        </w:rPr>
      </w:pPr>
    </w:p>
    <w:p w14:paraId="05B469B8" w14:textId="763D6085" w:rsidR="0082440F" w:rsidRDefault="0082440F" w:rsidP="00E25B19">
      <w:pPr>
        <w:spacing w:after="0" w:line="240" w:lineRule="auto"/>
        <w:jc w:val="both"/>
        <w:rPr>
          <w:rFonts w:ascii="Times New Roman" w:hAnsi="Times New Roman" w:cs="Times New Roman"/>
          <w:sz w:val="28"/>
          <w:szCs w:val="28"/>
          <w:lang w:val="be-BY"/>
        </w:rPr>
      </w:pPr>
    </w:p>
    <w:p w14:paraId="14D41596" w14:textId="77777777" w:rsidR="009F690E" w:rsidRDefault="009F690E" w:rsidP="00227AE6">
      <w:pPr>
        <w:pStyle w:val="12"/>
        <w:rPr>
          <w:lang w:val="ru-RU"/>
        </w:rPr>
      </w:pPr>
    </w:p>
    <w:p w14:paraId="0BABE68F" w14:textId="02EBD8A9" w:rsidR="00227AE6" w:rsidRPr="00C37D12" w:rsidRDefault="00227AE6" w:rsidP="00227AE6">
      <w:pPr>
        <w:pStyle w:val="12"/>
        <w:rPr>
          <w:lang w:val="ru-RU"/>
        </w:rPr>
      </w:pPr>
      <w:r>
        <w:t xml:space="preserve">УДК </w:t>
      </w:r>
      <w:r w:rsidR="00C37D12">
        <w:rPr>
          <w:lang w:val="ru-RU"/>
        </w:rPr>
        <w:t>39:</w:t>
      </w:r>
      <w:r>
        <w:t>502.74</w:t>
      </w:r>
      <w:r w:rsidR="00C37D12">
        <w:rPr>
          <w:lang w:val="ru-RU"/>
        </w:rPr>
        <w:t>(476)</w:t>
      </w:r>
    </w:p>
    <w:p w14:paraId="44583EF3" w14:textId="77777777" w:rsidR="00227AE6" w:rsidRDefault="00227AE6" w:rsidP="00227AE6">
      <w:pPr>
        <w:pStyle w:val="14"/>
        <w:rPr>
          <w:lang w:val="ru-RU"/>
        </w:rPr>
      </w:pPr>
      <w:bookmarkStart w:id="28" w:name="_Toc181881106"/>
      <w:bookmarkStart w:id="29" w:name="_Toc181884602"/>
      <w:bookmarkStart w:id="30" w:name="_Toc181894094"/>
      <w:r>
        <w:rPr>
          <w:bCs/>
        </w:rPr>
        <w:t>А.В. ОМЕЛЮСИК</w:t>
      </w:r>
      <w:bookmarkEnd w:id="28"/>
      <w:bookmarkEnd w:id="29"/>
      <w:bookmarkEnd w:id="30"/>
      <w:r>
        <w:t xml:space="preserve"> </w:t>
      </w:r>
    </w:p>
    <w:p w14:paraId="5CB8ABAD" w14:textId="264DD93E" w:rsidR="00227AE6" w:rsidRPr="00227AE6" w:rsidRDefault="00227AE6" w:rsidP="00227AE6">
      <w:pPr>
        <w:pStyle w:val="3"/>
      </w:pPr>
      <w:r>
        <w:t>Брест, БрГУ имени А.С. Пушкина</w:t>
      </w:r>
    </w:p>
    <w:p w14:paraId="339F00BD" w14:textId="77777777" w:rsidR="00227AE6" w:rsidRDefault="00227AE6" w:rsidP="00227AE6">
      <w:pPr>
        <w:pStyle w:val="4"/>
      </w:pPr>
      <w:r>
        <w:t>Научный руководитель: В.Ю. Пилипович, старший преподаватель</w:t>
      </w:r>
    </w:p>
    <w:p w14:paraId="75EC13EB" w14:textId="77777777" w:rsidR="00227AE6" w:rsidRDefault="00227AE6" w:rsidP="00C8031F">
      <w:pPr>
        <w:pStyle w:val="7"/>
      </w:pPr>
    </w:p>
    <w:p w14:paraId="7CC52696" w14:textId="62A701E2" w:rsidR="00227AE6" w:rsidRDefault="00C8031F" w:rsidP="00C8031F">
      <w:pPr>
        <w:pStyle w:val="5"/>
      </w:pPr>
      <w:r w:rsidRPr="00C8031F">
        <w:t>ТРАДИЦИОННЫЕ ЗАНЯТИЯ БЕЛОРУСОВ И ЗАКОН:  ГОСУДАРСТВЕННАЯ ИНСПЕКЦИЯ ОХРАНЫ ЖИВОТНОГО И РАСТИТЕЛЬНОГО МИРА ПРИ ПРЕЗИДЕНТЕ РЕСПУБЛИКИ БЕЛАРУСЬ В БОРЬБЕ С БРАКОНЬЕРСТВОм</w:t>
      </w:r>
    </w:p>
    <w:p w14:paraId="32665163" w14:textId="77777777" w:rsidR="00227AE6" w:rsidRDefault="00227AE6" w:rsidP="00C8031F">
      <w:pPr>
        <w:pStyle w:val="7"/>
      </w:pPr>
    </w:p>
    <w:p w14:paraId="1A4D1769" w14:textId="77777777" w:rsidR="00227AE6" w:rsidRDefault="00227AE6" w:rsidP="00C8031F">
      <w:pPr>
        <w:pStyle w:val="6"/>
      </w:pPr>
      <w:r>
        <w:t>В статье рассматривается путь становления Государственной инспекции охраны животного и растительного мира при Президенте Республики Беларусь. Основное внимание автор акцентирует на законодательных актах и динамике раскрытия правонарушений, связанных с браконьерством. Приводятся статистические данные, а также дается характеристика деятельности Государственной инспекции.</w:t>
      </w:r>
    </w:p>
    <w:p w14:paraId="1A87E5D2" w14:textId="77777777" w:rsidR="00227AE6" w:rsidRDefault="00227AE6" w:rsidP="00C8031F">
      <w:pPr>
        <w:pStyle w:val="7"/>
      </w:pPr>
    </w:p>
    <w:p w14:paraId="6A88787C" w14:textId="21D98FE6" w:rsidR="00227AE6" w:rsidRDefault="00743D82" w:rsidP="00C8031F">
      <w:pPr>
        <w:pStyle w:val="7"/>
        <w:rPr>
          <w:szCs w:val="22"/>
        </w:rPr>
      </w:pPr>
      <w:r>
        <w:t>Издавна человек на территории Беларуси добывал себе пропитание и иные необходимые ресурсы, такие как меха, кожи, кость, дерево, лекарства и т.д. при помощи охоты, рыболовства и собирательства. В результате сформировались традиционные промысловые занятия белорусов, были изобретены и зафиксированы традицией определенные способы и приспособления, которые практически неизменялись на протяжении многих веков. На сегодняшний день сложилась ситуация, при которой значительная часть традицонных способов и приспособлений находится п</w:t>
      </w:r>
      <w:r w:rsidR="00E21EA7">
        <w:t>од законодательным запретом в целях борьбы с браконьерством, т.к. э</w:t>
      </w:r>
      <w:r w:rsidR="00227AE6">
        <w:t>ксплуатация биоресурсов без контроля и регулирования существенно подрывает устойчивость экосистем, и может привести к необратимым последствиям для биологического разнообразия.</w:t>
      </w:r>
    </w:p>
    <w:p w14:paraId="10832D07" w14:textId="32721EC8" w:rsidR="00227AE6" w:rsidRDefault="00227AE6" w:rsidP="00C8031F">
      <w:pPr>
        <w:pStyle w:val="7"/>
      </w:pPr>
      <w:r>
        <w:lastRenderedPageBreak/>
        <w:t>С распадом СССР в декабре 1991 г. Беларусь столкнулась с множеством трудностей. Разрыв прежних экономических связей, привел к мощному экономическому кризису. Падение реального уровня зарплат, высокие темпы инфляции,</w:t>
      </w:r>
      <w:r w:rsidR="00743D82">
        <w:rPr>
          <w:lang w:val="be-BY"/>
        </w:rPr>
        <w:t xml:space="preserve"> </w:t>
      </w:r>
      <w:r>
        <w:t xml:space="preserve"> а также обвал производства, который приводил к безработице значительно ухудшали жизненный уровень населения. Вышеперечисленные негативные факторы побуждали население искать выход из ситуации. Один из путей выхода – чрезмерная эксплуатация природных ресурсов (как минимум для обеспечения себя достаточным количеством продовольствия). Такая эксплуатация выражается в незаконной добыче как диких животных, так и рыбных ресурсов.</w:t>
      </w:r>
    </w:p>
    <w:p w14:paraId="13632250" w14:textId="6D0EEBE4" w:rsidR="00227AE6" w:rsidRDefault="00227AE6" w:rsidP="00C8031F">
      <w:pPr>
        <w:pStyle w:val="7"/>
      </w:pPr>
      <w:r>
        <w:t>В сфере рыболовства Беларуси существует особенность: рыболовы-любители в суммарном объеме вылова рыбы превышают промысловое изъятие в 10 раз [</w:t>
      </w:r>
      <w:r>
        <w:fldChar w:fldCharType="begin"/>
      </w:r>
      <w:r>
        <w:instrText xml:space="preserve"> REF _Ref167039737 \r \h </w:instrText>
      </w:r>
      <w:r w:rsidR="00C8031F">
        <w:instrText xml:space="preserve"> \* MERGEFORMAT </w:instrText>
      </w:r>
      <w:r>
        <w:fldChar w:fldCharType="separate"/>
      </w:r>
      <w:r w:rsidR="00761013">
        <w:t>4</w:t>
      </w:r>
      <w:r>
        <w:fldChar w:fldCharType="end"/>
      </w:r>
      <w:r>
        <w:t>, с. 269]. Естественно, среди такого большого количества изъятой рыбы имеет место и незаконный вылов. С 1992 г. в стране создавались государственные органы, в сферу деятельности которых входили исполнительные, контрольные, регулирующие и другие функции в области охраны и использования природных ресурсов.</w:t>
      </w:r>
    </w:p>
    <w:p w14:paraId="5D281673" w14:textId="77777777" w:rsidR="00227AE6" w:rsidRDefault="00227AE6" w:rsidP="00C8031F">
      <w:pPr>
        <w:pStyle w:val="7"/>
      </w:pPr>
      <w:r>
        <w:t xml:space="preserve">Постановлением Совета Министров Республики Беларусь № 91 от 19 февраля 1992 г. Белорусское бассейновое управление по охране и воспроизводству рыбных запасов и регулированию рыболовства Министерства рыбного хозяйства СССР (Белрыбвод) было преобразовано в Главное управление по охране и воспроизводству рыбных запасов и регулированию рыболовства при Совете Министров Республики Беларусь (Главрыбвод). Это было сделано в целях улучшения охраны рыбных запасов, контроля за их использованием, создания оптимальных условий для воспроизводства и обитания ценных видов рыб. </w:t>
      </w:r>
    </w:p>
    <w:p w14:paraId="65F22D3D" w14:textId="77777777" w:rsidR="00227AE6" w:rsidRDefault="00227AE6" w:rsidP="00C8031F">
      <w:pPr>
        <w:pStyle w:val="7"/>
      </w:pPr>
      <w:r>
        <w:t>Уже в марте 1994 г., в рамках постановления № 145 Совета Министров «О совершенствовании структуры органов</w:t>
      </w:r>
      <w:r>
        <w:rPr>
          <w:lang w:val="be-BY"/>
        </w:rPr>
        <w:t xml:space="preserve"> </w:t>
      </w:r>
      <w:r>
        <w:t>государственного управления Республики</w:t>
      </w:r>
      <w:r>
        <w:rPr>
          <w:lang w:val="be-BY"/>
        </w:rPr>
        <w:t xml:space="preserve"> </w:t>
      </w:r>
      <w:r>
        <w:t>Беларусь и сокращении расходов на их содержание», Главрыбвод был преобразован в Департамент рыбоохраны при Министерстве природных ресурсов и охраны окружающей среды Республики Беларусь. В сентябре того же года Указом Президента № 122 департамент был преобразован в комитет рыбоохраны. 9 июня 1997 г. Совет Министров утвердил Положения о комитете, тем самым окончательно отменив постановление о создании Главрыбвода от 1992 г.</w:t>
      </w:r>
    </w:p>
    <w:p w14:paraId="16BE79D8" w14:textId="77777777" w:rsidR="00227AE6" w:rsidRDefault="00227AE6" w:rsidP="00C8031F">
      <w:pPr>
        <w:pStyle w:val="7"/>
      </w:pPr>
      <w:r>
        <w:t xml:space="preserve">Однако данный комитет просуществовал недолго и уже в сентябре 2001 г. был ликвидирован в рамках оптимизации системы республиканских органов государственного управления и иных государственных организаций, подчиненных Правительству Республики Беларусь (Указ Президента № 516). 31 октября 2001 г. в структуре Министерства природных ресурсов и охраны окружающей среды Республики Беларусь </w:t>
      </w:r>
      <w:r>
        <w:lastRenderedPageBreak/>
        <w:t xml:space="preserve">был создан Департамент охраны рыбных ресурсов и охотничьих видов животных. Тем самым, новый орган расширил сферу своей деятельности и на охрану охотничьих видов животных. Кроме этого, он является предшественником современной Государственной инспекции охраны животного и растительного мира при Президенте Республики Беларусь (далее – Госинспекция). </w:t>
      </w:r>
    </w:p>
    <w:p w14:paraId="2455108A" w14:textId="707C7B58" w:rsidR="00227AE6" w:rsidRDefault="00227AE6" w:rsidP="00C8031F">
      <w:pPr>
        <w:pStyle w:val="7"/>
      </w:pPr>
      <w:r>
        <w:t>Ситуация накануне создания нового органа была сложной. За период существования департамента ежегодно регистрировалось около 22 тысяч нарушений правил рыболовства. Большинство из них являлись грубыми. Снасти браконьерами производились самостоятельно, либо покупались за небольшую сумму (около 10$ на январь 2002 г.) [</w:t>
      </w:r>
      <w:r>
        <w:fldChar w:fldCharType="begin"/>
      </w:r>
      <w:r>
        <w:instrText xml:space="preserve"> REF _Ref167039979 \r \h </w:instrText>
      </w:r>
      <w:r w:rsidR="00C8031F">
        <w:instrText xml:space="preserve"> \* MERGEFORMAT </w:instrText>
      </w:r>
      <w:r>
        <w:fldChar w:fldCharType="separate"/>
      </w:r>
      <w:r w:rsidR="00761013">
        <w:t>3</w:t>
      </w:r>
      <w:r>
        <w:fldChar w:fldCharType="end"/>
      </w:r>
      <w:r>
        <w:t xml:space="preserve">]. </w:t>
      </w:r>
    </w:p>
    <w:p w14:paraId="6E683308" w14:textId="77777777" w:rsidR="00227AE6" w:rsidRDefault="00227AE6" w:rsidP="00C8031F">
      <w:pPr>
        <w:pStyle w:val="7"/>
      </w:pPr>
      <w:r>
        <w:t>Свободная продажа сетей серьезно затрудняла борьбу с браконьерством. Для изменения ситуации в 2002 г. было принято постановление № 928 «О некоторых вопросах реализации и использования рыболовных сетей и сетематериалов». Теперь реализацию рыболовных сетей и сетематериалов осуществляли только юридические лица и индивидуальные предприниматели, которые были включены в специальный перечень принимаемый облисполкомами.</w:t>
      </w:r>
    </w:p>
    <w:p w14:paraId="2E7A9CE3" w14:textId="4F96A288" w:rsidR="00227AE6" w:rsidRDefault="00227AE6" w:rsidP="00C8031F">
      <w:pPr>
        <w:pStyle w:val="7"/>
        <w:rPr>
          <w:rFonts w:cstheme="minorBidi"/>
          <w:szCs w:val="22"/>
        </w:rPr>
      </w:pPr>
      <w:r>
        <w:t>16 января 2003 г. на совещании, по мерам улучшения обеспечения населения рыбой и морепродуктами, Президент Беларуси Александр Лукашенко акцентировал внимание на обострившейся проблеме использования рыбохозяйственного комплекса страны [</w:t>
      </w:r>
      <w:r>
        <w:fldChar w:fldCharType="begin"/>
      </w:r>
      <w:r>
        <w:instrText xml:space="preserve"> REF _Ref167039990 \r \h </w:instrText>
      </w:r>
      <w:r w:rsidR="00C8031F">
        <w:instrText xml:space="preserve"> \* MERGEFORMAT </w:instrText>
      </w:r>
      <w:r>
        <w:fldChar w:fldCharType="separate"/>
      </w:r>
      <w:r w:rsidR="00761013">
        <w:t>1</w:t>
      </w:r>
      <w:r>
        <w:fldChar w:fldCharType="end"/>
      </w:r>
      <w:r>
        <w:t>]. Он отметил, что при обилии источников рыбной продукции (рек, озер, водохранилищ и т. д.) они используются плохо. Среди названных причин фигурировали как бесхозяйственность так и браконьерство. Как было отмечено, эти факторы наносят огромный ущерб отрасли. Накануне создания Госинпекции (2002 г.) количество лиц, осужденных по статье 281 Уголовного кодекса, в удельном весе преступлений против экологической безопасности и природной среды составило – 48,3% [</w:t>
      </w:r>
      <w:r>
        <w:fldChar w:fldCharType="begin"/>
      </w:r>
      <w:r>
        <w:instrText xml:space="preserve"> REF _Ref166525543 \r \h </w:instrText>
      </w:r>
      <w:r w:rsidR="00C8031F">
        <w:instrText xml:space="preserve"> \* MERGEFORMAT </w:instrText>
      </w:r>
      <w:r>
        <w:fldChar w:fldCharType="separate"/>
      </w:r>
      <w:r w:rsidR="00761013">
        <w:t>2</w:t>
      </w:r>
      <w:r>
        <w:fldChar w:fldCharType="end"/>
      </w:r>
      <w:r>
        <w:t xml:space="preserve">]. </w:t>
      </w:r>
    </w:p>
    <w:p w14:paraId="30E1885B" w14:textId="77777777" w:rsidR="00227AE6" w:rsidRDefault="00227AE6" w:rsidP="00C8031F">
      <w:pPr>
        <w:pStyle w:val="7"/>
      </w:pPr>
      <w:r>
        <w:t xml:space="preserve">27 января 2003 г. указом Президента Республики Беларусь № 45 на базе Департамента охраны рыбных ресурсов и охотничьих видов животных образована Государственная инспекция охраны животного и растительного мира при Президенте Республики Беларусь. Структура больше не являлась частью Минприроды, а становилась самостоятельной (однако подчиненной Президенту). Задачи которые ставились перед новым руководством, в целом совпадали с предыдущими структурами, однако новым важным пунктом является координация деятельности государственных органов и иных организаций по осуществлению контроля. Это означало, что в задачи Госинпекции входит и координирующая деятельность. Сам орган становиться самостоятельным и позиционируется центральным в борьбе с браконьерством. </w:t>
      </w:r>
    </w:p>
    <w:p w14:paraId="5738E75F" w14:textId="37AC60BE" w:rsidR="00227AE6" w:rsidRDefault="00227AE6" w:rsidP="00C8031F">
      <w:pPr>
        <w:pStyle w:val="7"/>
      </w:pPr>
      <w:r>
        <w:lastRenderedPageBreak/>
        <w:t xml:space="preserve">«Важнейшей задачей государственной инспекции является усиление борьбы с браконьерством и хищническим отношением к природным богатствам страны, наведение порядка в охотничьем хозяйстве и рыболовстве, сохранение лесных угодий. Государственная инспекция должна стать центральным звеном системы контроля за состоянием животного и растительного мира», </w:t>
      </w:r>
      <w:r w:rsidR="00E94D33" w:rsidRPr="00541980">
        <w:t>–</w:t>
      </w:r>
      <w:r>
        <w:t xml:space="preserve"> отмечает Александр Лукашенко [</w:t>
      </w:r>
      <w:r>
        <w:fldChar w:fldCharType="begin"/>
      </w:r>
      <w:r>
        <w:instrText xml:space="preserve"> REF _Ref167039990 \r \h </w:instrText>
      </w:r>
      <w:r w:rsidR="00C8031F">
        <w:instrText xml:space="preserve"> \* MERGEFORMAT </w:instrText>
      </w:r>
      <w:r>
        <w:fldChar w:fldCharType="separate"/>
      </w:r>
      <w:r w:rsidR="00761013">
        <w:t>1</w:t>
      </w:r>
      <w:r>
        <w:fldChar w:fldCharType="end"/>
      </w:r>
      <w:r>
        <w:t>].</w:t>
      </w:r>
    </w:p>
    <w:p w14:paraId="3D10F8F6" w14:textId="77777777" w:rsidR="00227AE6" w:rsidRDefault="00227AE6" w:rsidP="00C8031F">
      <w:pPr>
        <w:pStyle w:val="7"/>
      </w:pPr>
      <w:r>
        <w:t>В структуру центрального аппарата Государственной инспекции вошли четыре управления: анализа и контроля за охраной и использованием объектов животного и растительного мира; оперативного реагирования; правового обеспечения, кадровой и идеологической работы; планирования, финансирования и бухгалтерского учета. А на местах образованы шесть областных и 41 межрайонная инспекция.</w:t>
      </w:r>
    </w:p>
    <w:p w14:paraId="4F2BB9DA" w14:textId="74FAECDE" w:rsidR="00227AE6" w:rsidRDefault="00227AE6" w:rsidP="00C8031F">
      <w:pPr>
        <w:pStyle w:val="7"/>
      </w:pPr>
      <w:r>
        <w:t>Путь становления новой государственной структуры оказался непростым. Начинать пришлось в условиях несовершенства законодательства в сфере охоты и рыболовства. Штрафы за нарушения природоохранного законодательства были незначительными, поэтому браконьеры без особых колебаний шли на повторное нарушение [</w:t>
      </w:r>
      <w:r>
        <w:fldChar w:fldCharType="begin"/>
      </w:r>
      <w:r>
        <w:instrText xml:space="preserve"> REF _Ref167039990 \r \h </w:instrText>
      </w:r>
      <w:r w:rsidR="00C8031F">
        <w:instrText xml:space="preserve"> \* MERGEFORMAT </w:instrText>
      </w:r>
      <w:r>
        <w:fldChar w:fldCharType="separate"/>
      </w:r>
      <w:r w:rsidR="00761013">
        <w:t>1</w:t>
      </w:r>
      <w:r>
        <w:fldChar w:fldCharType="end"/>
      </w:r>
      <w:r>
        <w:t>].</w:t>
      </w:r>
    </w:p>
    <w:p w14:paraId="5B85BAC8" w14:textId="3A3DB049" w:rsidR="00227AE6" w:rsidRDefault="00227AE6" w:rsidP="00C8031F">
      <w:pPr>
        <w:pStyle w:val="7"/>
      </w:pPr>
      <w:r>
        <w:t xml:space="preserve">За первые 5 лет существования Госинспекции было выявлено 110,6 тысячи нарушений природоохранного законодательства. Наибольшее количество нарушений приходится на сферу рыболовства </w:t>
      </w:r>
      <w:r w:rsidR="00E94D33" w:rsidRPr="00541980">
        <w:t>–</w:t>
      </w:r>
      <w:r>
        <w:t xml:space="preserve"> их более 80 тысяч, при этом у браконьеров изъято 118,4 тысячи сетей общей длиной 5,8 тысячи километров, 187 электроловильных установок и более 27,3 тысячи прочих орудий рыболовства. Ежегодно общее количество нарушений природоохранного законодательства начало заметно снижаться. Если в 2003 году их было зарегистрировано 25,4 тысячи, то за 2005</w:t>
      </w:r>
      <w:r w:rsidR="00E94D33" w:rsidRPr="00541980">
        <w:t>–</w:t>
      </w:r>
      <w:r>
        <w:t xml:space="preserve">2008 гг. этот показатель снизился почти вдвое. Изменения наблюдаются и в сфере охоты. С 2006 года кривая вскрытых нарушений Правил охоты опустилась вниз </w:t>
      </w:r>
      <w:r w:rsidR="00E94D33" w:rsidRPr="00541980">
        <w:t>–</w:t>
      </w:r>
      <w:r>
        <w:t xml:space="preserve"> до 1 </w:t>
      </w:r>
      <w:r w:rsidR="00E94D33" w:rsidRPr="00541980">
        <w:t>–</w:t>
      </w:r>
      <w:r>
        <w:t xml:space="preserve"> 1,2 тысячи, тогда как в первые годы работы Госинспекции выявлялось до 2,4 тысячи нарушений. При этом увеличилось количество изъятого у браконьеров мяса дичи. Если с 2003 по 2007 год силами сотрудников было изъято 14,3 тонны дичемясной продукции, то только за 2008 год </w:t>
      </w:r>
      <w:r w:rsidR="00E94D33" w:rsidRPr="00541980">
        <w:t>–</w:t>
      </w:r>
      <w:r>
        <w:t xml:space="preserve"> более 7,5 тонны [</w:t>
      </w:r>
      <w:r>
        <w:fldChar w:fldCharType="begin"/>
      </w:r>
      <w:r>
        <w:instrText xml:space="preserve"> REF _Ref167040159 \r \h </w:instrText>
      </w:r>
      <w:r w:rsidR="00C8031F">
        <w:instrText xml:space="preserve"> \* MERGEFORMAT </w:instrText>
      </w:r>
      <w:r>
        <w:fldChar w:fldCharType="separate"/>
      </w:r>
      <w:r w:rsidR="00761013">
        <w:t>5</w:t>
      </w:r>
      <w:r>
        <w:fldChar w:fldCharType="end"/>
      </w:r>
      <w:r>
        <w:t>].</w:t>
      </w:r>
    </w:p>
    <w:p w14:paraId="345B7BA6" w14:textId="10BB25DB" w:rsidR="00227AE6" w:rsidRDefault="00227AE6" w:rsidP="00C8031F">
      <w:pPr>
        <w:pStyle w:val="7"/>
      </w:pPr>
      <w:r>
        <w:t xml:space="preserve">В целях совершенствования деятельности Государственной инспекции Указом Президента Республики Беларусь от 21 мая 2012 года № 237 утверждено новое Положение о Государственной инспекции охраны животного и растительного мира при Президенте Республики Беларусь. Цель нововведений </w:t>
      </w:r>
      <w:r w:rsidR="00E94D33">
        <w:rPr>
          <w:lang w:val="en-US"/>
        </w:rPr>
        <w:t>–</w:t>
      </w:r>
      <w:r>
        <w:t xml:space="preserve"> убрать все разночтения и конкретизировать многие нормы. </w:t>
      </w:r>
    </w:p>
    <w:p w14:paraId="34A365D9" w14:textId="04BB4F4F" w:rsidR="00227AE6" w:rsidRDefault="00227AE6" w:rsidP="00C8031F">
      <w:pPr>
        <w:pStyle w:val="7"/>
        <w:rPr>
          <w:lang w:val="be-BY"/>
        </w:rPr>
      </w:pPr>
      <w:r>
        <w:t xml:space="preserve">Подводя итоги 15 лет работы, начальник Госинпекции Сергей Новиков отмечал, что количество правонарушений заметно снизилось. В 2017 г.  из общего количества правонарушений было выявлено 8,2 тыс. (в </w:t>
      </w:r>
      <w:r>
        <w:lastRenderedPageBreak/>
        <w:t>2003 г. таких правонарушений было более 25 тыс.) [</w:t>
      </w:r>
      <w:r>
        <w:fldChar w:fldCharType="begin"/>
      </w:r>
      <w:r>
        <w:instrText xml:space="preserve"> REF _Ref167040163 \r \h </w:instrText>
      </w:r>
      <w:r w:rsidR="00C8031F">
        <w:instrText xml:space="preserve"> \* MERGEFORMAT </w:instrText>
      </w:r>
      <w:r>
        <w:fldChar w:fldCharType="separate"/>
      </w:r>
      <w:r w:rsidR="00761013">
        <w:t>6</w:t>
      </w:r>
      <w:r>
        <w:fldChar w:fldCharType="end"/>
      </w:r>
      <w:r>
        <w:t>].</w:t>
      </w:r>
      <w:r>
        <w:rPr>
          <w:lang w:val="be-BY"/>
        </w:rPr>
        <w:t xml:space="preserve"> Разница между выявленными правонарушениями за первые пять и последующие десять лет работы показывают положительную динамику в борьбе с браконьерством. Так, если за первые 5 лет было выявлено 110,6 тысяч нарушений, то за следующие 10 лет было обнаружено около 100 тысяч нарушений.</w:t>
      </w:r>
    </w:p>
    <w:p w14:paraId="7B8707CD" w14:textId="77777777" w:rsidR="00227AE6" w:rsidRDefault="00227AE6" w:rsidP="00C8031F">
      <w:pPr>
        <w:pStyle w:val="7"/>
        <w:rPr>
          <w:lang w:val="be-BY"/>
        </w:rPr>
      </w:pPr>
      <w:r>
        <w:rPr>
          <w:lang w:val="be-BY"/>
        </w:rPr>
        <w:t>Кроме увеличения раскрываемости правонарушений отмечается и рост самосознания граждан. Отношение к браконьерству с годами менялось, и все больше людей начало видеть в нем проблему. За последние 5 лет ещё большее значение в  деятельности Госинспекции приобрела профилактика.</w:t>
      </w:r>
    </w:p>
    <w:p w14:paraId="064338BD" w14:textId="77777777" w:rsidR="00227AE6" w:rsidRDefault="00227AE6" w:rsidP="00C8031F">
      <w:pPr>
        <w:pStyle w:val="7"/>
      </w:pPr>
      <w:r>
        <w:rPr>
          <w:lang w:val="be-BY"/>
        </w:rPr>
        <w:t xml:space="preserve">Так, в 2019 г. по инициативе структуры впервые была проведена акция </w:t>
      </w:r>
      <w:r>
        <w:t>«Сдай сети». В рамках этой акции граждане могли сдать незаконные орудия лова, и при этом избежать административной ответственности. Результаты данной акции показали, что множество граждан добровольно отказались от владения и использования запрещенных орудий лова.</w:t>
      </w:r>
    </w:p>
    <w:p w14:paraId="5BE4687A" w14:textId="77777777" w:rsidR="00227AE6" w:rsidRDefault="00227AE6" w:rsidP="00C8031F">
      <w:pPr>
        <w:pStyle w:val="7"/>
      </w:pPr>
      <w:r>
        <w:t>Подводя итог, можно выделить, что в период 1990-х гг. характерно непостоянство и частая смена специальных органов, что негативно сказывалось на их эффективности. Браконьерство стало очень распространенным явлением, и это видно по статистике правонарушений. Однако в 2003 г. ситуация меняется с появлением Госинпекции. Начиная со своего основания и по сей день, эта структура осуществляет целенаправленные меры по пресечению браконьерства. Результаты ее деятельности показывают как эффективность проводимых ей полевых мероприятий, так и профилактическую работу среди населения. Первые 5 лет работы раскрыли основную часть нарушений из общего их количество за всё время работы Госинспекции. Эффективность мер позволила сократить правонарушения в 2 раза. Таким образом, можно сделать еще один вывод – Госинспекция на современном этапе является эффективным центральным органом в борьбе с браконьерством.</w:t>
      </w:r>
    </w:p>
    <w:p w14:paraId="6488E48A" w14:textId="77777777" w:rsidR="00227AE6" w:rsidRDefault="00227AE6" w:rsidP="00C8031F">
      <w:pPr>
        <w:pStyle w:val="7"/>
      </w:pPr>
    </w:p>
    <w:p w14:paraId="7AC5BB84" w14:textId="77777777" w:rsidR="00C8031F" w:rsidRDefault="00C8031F" w:rsidP="00C8031F">
      <w:pPr>
        <w:pStyle w:val="7"/>
      </w:pPr>
    </w:p>
    <w:p w14:paraId="72B46243" w14:textId="77777777" w:rsidR="00227AE6" w:rsidRDefault="00227AE6" w:rsidP="006F6A4F">
      <w:pPr>
        <w:pStyle w:val="8"/>
        <w:numPr>
          <w:ilvl w:val="0"/>
          <w:numId w:val="19"/>
        </w:numPr>
        <w:ind w:left="0" w:firstLine="709"/>
      </w:pPr>
      <w:bookmarkStart w:id="31" w:name="_Ref167039990"/>
      <w:r>
        <w:t>5 лет на страже родной природы [Электронный ресурс]. – Режим доступа: https://www.sb.by/articles/5-let-na-strazhe-rodnoy-prirody.html. – Дата доступа: 10.04.2024.</w:t>
      </w:r>
      <w:bookmarkEnd w:id="31"/>
    </w:p>
    <w:p w14:paraId="0D2AA645" w14:textId="77777777" w:rsidR="00227AE6" w:rsidRDefault="00227AE6" w:rsidP="006F6A4F">
      <w:pPr>
        <w:pStyle w:val="8"/>
        <w:numPr>
          <w:ilvl w:val="0"/>
          <w:numId w:val="19"/>
        </w:numPr>
        <w:ind w:left="0" w:firstLine="709"/>
      </w:pPr>
      <w:bookmarkStart w:id="32" w:name="_Ref166525543"/>
      <w:r>
        <w:t>Браконьерство: уголовно-правовая характеристика и проблемы квалификации [Электронный ресурс]. – Режим доступа: https://bypravo.ru/brakonerstvo-ugolovno-pravovaya-harakteristika-i-problemy-kvalifikatsii/. – Дата доступа: 18.05.2024.</w:t>
      </w:r>
      <w:bookmarkEnd w:id="32"/>
    </w:p>
    <w:p w14:paraId="38395758" w14:textId="77777777" w:rsidR="00227AE6" w:rsidRDefault="00227AE6" w:rsidP="006F6A4F">
      <w:pPr>
        <w:pStyle w:val="8"/>
        <w:numPr>
          <w:ilvl w:val="0"/>
          <w:numId w:val="19"/>
        </w:numPr>
        <w:ind w:left="0" w:firstLine="709"/>
      </w:pPr>
      <w:bookmarkStart w:id="33" w:name="_Ref167039979"/>
      <w:r>
        <w:t>Особенности национальной рыбалки [Электронный ресурс]. – Режим доступа: https://www.sb.by/articles/osobennosti-natsionalnoy-rybalki.html. – Дата доступа: 18.05.2024.</w:t>
      </w:r>
      <w:bookmarkEnd w:id="33"/>
    </w:p>
    <w:p w14:paraId="0AD8A03E" w14:textId="77777777" w:rsidR="00227AE6" w:rsidRDefault="00227AE6" w:rsidP="006F6A4F">
      <w:pPr>
        <w:pStyle w:val="8"/>
        <w:numPr>
          <w:ilvl w:val="0"/>
          <w:numId w:val="19"/>
        </w:numPr>
        <w:ind w:left="0" w:firstLine="709"/>
      </w:pPr>
      <w:bookmarkStart w:id="34" w:name="_Ref167039737"/>
      <w:r>
        <w:t>Состояние природной среды Беларуси : экологический бюллетень 2005 г. / под ред. В.Ф. Логинова. - Минск : Минсктиппроект, 2006. - 324 с.</w:t>
      </w:r>
      <w:bookmarkEnd w:id="34"/>
    </w:p>
    <w:p w14:paraId="338812C3" w14:textId="77777777" w:rsidR="00227AE6" w:rsidRDefault="00227AE6" w:rsidP="006F6A4F">
      <w:pPr>
        <w:pStyle w:val="8"/>
        <w:numPr>
          <w:ilvl w:val="0"/>
          <w:numId w:val="19"/>
        </w:numPr>
        <w:ind w:left="0" w:firstLine="709"/>
      </w:pPr>
      <w:bookmarkStart w:id="35" w:name="_Ref167040159"/>
      <w:r>
        <w:t>У природы есть надежные защитники [Электронный ресурс]. – Режим доступа: https://www.sb.by/articles/u-prirody-est-nadezhnye-zashchitniki.html. – Дата доступа: 18.05.2024.</w:t>
      </w:r>
      <w:bookmarkEnd w:id="35"/>
    </w:p>
    <w:p w14:paraId="06448B13" w14:textId="77777777" w:rsidR="00227AE6" w:rsidRDefault="00227AE6" w:rsidP="006F6A4F">
      <w:pPr>
        <w:pStyle w:val="8"/>
        <w:numPr>
          <w:ilvl w:val="0"/>
          <w:numId w:val="19"/>
        </w:numPr>
        <w:ind w:left="0" w:firstLine="709"/>
      </w:pPr>
      <w:bookmarkStart w:id="36" w:name="_Ref167040163"/>
      <w:r>
        <w:lastRenderedPageBreak/>
        <w:t>Число нарушений природоохранного законодательства Беларуси в 2017 году снизилось на 12% [Электронный ресурс]. – Режим доступа: https://www.belta.by/society/view/chislo-narushenij-prirodoohrannogo-zakonodatelstva-belarusi-v-2017-godu-snizilos-na-12-285771-2018/. – Дата доступа: 18.05.2024.</w:t>
      </w:r>
      <w:bookmarkEnd w:id="36"/>
    </w:p>
    <w:p w14:paraId="3964A66B" w14:textId="77777777" w:rsidR="00C8031F" w:rsidRDefault="00C8031F" w:rsidP="00F32EA2">
      <w:pPr>
        <w:pStyle w:val="7"/>
      </w:pPr>
    </w:p>
    <w:p w14:paraId="105D5948" w14:textId="77777777" w:rsidR="009A7D6C" w:rsidRPr="009D63FE" w:rsidRDefault="000C69B3" w:rsidP="00E25B19">
      <w:pPr>
        <w:pStyle w:val="Standard"/>
        <w:jc w:val="center"/>
        <w:rPr>
          <w:i/>
          <w:lang w:val="be-BY"/>
        </w:rPr>
      </w:pPr>
      <w:hyperlink w:anchor="_СОДЕРЖАНИЕ" w:history="1">
        <w:r w:rsidR="009A7D6C" w:rsidRPr="009D63FE">
          <w:rPr>
            <w:rStyle w:val="a9"/>
            <w:rFonts w:ascii="Times New Roman" w:hAnsi="Times New Roman" w:cs="Times New Roman"/>
            <w:i/>
            <w:color w:val="auto"/>
            <w:sz w:val="28"/>
            <w:szCs w:val="28"/>
            <w:u w:val="none"/>
            <w:lang w:val="be-BY"/>
          </w:rPr>
          <w:t>К содержанию</w:t>
        </w:r>
      </w:hyperlink>
    </w:p>
    <w:p w14:paraId="31D980C2" w14:textId="77777777" w:rsidR="00A3150F" w:rsidRDefault="00A3150F" w:rsidP="00E25B19">
      <w:pPr>
        <w:spacing w:after="0" w:line="240" w:lineRule="auto"/>
        <w:ind w:firstLine="709"/>
        <w:jc w:val="both"/>
        <w:rPr>
          <w:rFonts w:ascii="Times New Roman" w:hAnsi="Times New Roman" w:cs="Times New Roman"/>
          <w:sz w:val="28"/>
          <w:szCs w:val="28"/>
          <w:lang w:val="be-BY"/>
        </w:rPr>
      </w:pPr>
    </w:p>
    <w:p w14:paraId="414D5915" w14:textId="77777777" w:rsidR="00340D9D" w:rsidRDefault="00340D9D" w:rsidP="00E25B19">
      <w:pPr>
        <w:spacing w:after="0" w:line="240" w:lineRule="auto"/>
        <w:ind w:firstLine="709"/>
        <w:jc w:val="both"/>
        <w:rPr>
          <w:rFonts w:ascii="Times New Roman" w:hAnsi="Times New Roman" w:cs="Times New Roman"/>
          <w:sz w:val="28"/>
          <w:szCs w:val="28"/>
          <w:lang w:val="be-BY"/>
        </w:rPr>
      </w:pPr>
    </w:p>
    <w:p w14:paraId="66EF5050" w14:textId="77777777" w:rsidR="006A0422" w:rsidRDefault="006A0422" w:rsidP="00E25B19">
      <w:pPr>
        <w:spacing w:after="0" w:line="240" w:lineRule="auto"/>
        <w:ind w:firstLine="709"/>
        <w:jc w:val="both"/>
        <w:rPr>
          <w:rFonts w:ascii="Times New Roman" w:hAnsi="Times New Roman" w:cs="Times New Roman"/>
          <w:sz w:val="28"/>
          <w:szCs w:val="28"/>
          <w:lang w:val="be-BY"/>
        </w:rPr>
      </w:pPr>
    </w:p>
    <w:p w14:paraId="68C99ACB" w14:textId="26A347F7" w:rsidR="003D3C47" w:rsidRPr="00F7633C" w:rsidRDefault="00A81B93" w:rsidP="00A52369">
      <w:pPr>
        <w:pStyle w:val="12"/>
      </w:pPr>
      <w:r w:rsidRPr="00A81B93">
        <w:t>УДК 94(476)“1880/1939”+930.2</w:t>
      </w:r>
    </w:p>
    <w:p w14:paraId="15AA6FF8" w14:textId="77777777" w:rsidR="00A81B93" w:rsidRDefault="00A81B93" w:rsidP="00A52369">
      <w:pPr>
        <w:pStyle w:val="14"/>
      </w:pPr>
      <w:bookmarkStart w:id="37" w:name="_Т.С._ОВСЕЕНКО"/>
      <w:bookmarkStart w:id="38" w:name="_Toc181884603"/>
      <w:bookmarkStart w:id="39" w:name="_Toc181894095"/>
      <w:bookmarkEnd w:id="37"/>
      <w:r w:rsidRPr="00A81B93">
        <w:t>К.Е. Гавриленко</w:t>
      </w:r>
      <w:bookmarkEnd w:id="38"/>
      <w:bookmarkEnd w:id="39"/>
      <w:r w:rsidRPr="00A81B93">
        <w:t xml:space="preserve"> </w:t>
      </w:r>
    </w:p>
    <w:p w14:paraId="19445FAD" w14:textId="6DFA345B" w:rsidR="003D3C47" w:rsidRPr="00F7633C" w:rsidRDefault="00A81B93" w:rsidP="00A52369">
      <w:pPr>
        <w:pStyle w:val="3"/>
      </w:pPr>
      <w:r>
        <w:rPr>
          <w:caps/>
          <w:lang w:val="be-BY"/>
        </w:rPr>
        <w:t>М</w:t>
      </w:r>
      <w:r>
        <w:rPr>
          <w:lang w:val="be-BY"/>
        </w:rPr>
        <w:t>инск</w:t>
      </w:r>
      <w:r w:rsidR="009D63FE">
        <w:rPr>
          <w:lang w:val="be-BY"/>
        </w:rPr>
        <w:t xml:space="preserve">, </w:t>
      </w:r>
      <w:r>
        <w:rPr>
          <w:caps/>
        </w:rPr>
        <w:t>РИВШ</w:t>
      </w:r>
    </w:p>
    <w:p w14:paraId="6F17305C" w14:textId="3411830C" w:rsidR="003D3C47" w:rsidRPr="00F7633C" w:rsidRDefault="00A81B93" w:rsidP="00A52369">
      <w:pPr>
        <w:pStyle w:val="4"/>
      </w:pPr>
      <w:r w:rsidRPr="00A81B93">
        <w:t>Научный руководитель</w:t>
      </w:r>
      <w:r>
        <w:t xml:space="preserve"> –</w:t>
      </w:r>
      <w:r w:rsidRPr="00A81B93">
        <w:t xml:space="preserve"> А.В. Мартынюк, д.и.н.,профессор</w:t>
      </w:r>
    </w:p>
    <w:p w14:paraId="67A72252" w14:textId="77777777" w:rsidR="003D3C47" w:rsidRPr="00F7633C" w:rsidRDefault="003D3C47" w:rsidP="00E25B19">
      <w:pPr>
        <w:spacing w:after="0" w:line="240" w:lineRule="auto"/>
        <w:ind w:firstLine="709"/>
        <w:jc w:val="both"/>
        <w:rPr>
          <w:rFonts w:ascii="Times New Roman" w:hAnsi="Times New Roman" w:cs="Times New Roman"/>
          <w:sz w:val="28"/>
          <w:szCs w:val="28"/>
        </w:rPr>
      </w:pPr>
    </w:p>
    <w:p w14:paraId="11DC8905" w14:textId="27A73B57" w:rsidR="003D3C47" w:rsidRPr="00F7633C" w:rsidRDefault="00A81B93" w:rsidP="00A52369">
      <w:pPr>
        <w:pStyle w:val="5"/>
      </w:pPr>
      <w:r w:rsidRPr="00A81B93">
        <w:t>МАТЕРИАЛЫ ПОЛЬСКИХ ЛЮТЕРАНСКИХ ПЕРИОДИЧЕСКИХ ИЗДАНИЙ 80-Х гг. XIX – 30-Х гг. ХХ в. КАК ИСТОЧНИКИ ПО ИСТОРИИ БУЖСКИХ ГОЛЕНДРОВ</w:t>
      </w:r>
    </w:p>
    <w:p w14:paraId="54814780" w14:textId="77777777" w:rsidR="003D3C47" w:rsidRPr="00F7633C" w:rsidRDefault="003D3C47" w:rsidP="00E25B19">
      <w:pPr>
        <w:spacing w:after="0" w:line="240" w:lineRule="auto"/>
        <w:ind w:firstLine="709"/>
        <w:jc w:val="both"/>
        <w:rPr>
          <w:rFonts w:ascii="Times New Roman" w:hAnsi="Times New Roman" w:cs="Times New Roman"/>
          <w:sz w:val="28"/>
          <w:szCs w:val="28"/>
        </w:rPr>
      </w:pPr>
    </w:p>
    <w:p w14:paraId="7EA0ECA9" w14:textId="1689E81E" w:rsidR="005A00BC" w:rsidRPr="00F7633C" w:rsidRDefault="00A81B93" w:rsidP="00A52369">
      <w:pPr>
        <w:pStyle w:val="6"/>
      </w:pPr>
      <w:r w:rsidRPr="00A81B93">
        <w:t>Работа посвящена анализу материалов лютеранской периодических изданий, издаваемых в Царстве Польском и во Второй Речи Посполитой как примеров источников по истории общности бужских голендров. Приводиться сведения о лютеранских периодических изданиях, об опубликованных данных по религиозной и повседневной жизни в общности, представляется информация об авторах. Делается вывод о закономерности появления на страницах изданий статей и заметок о лютеранской общины бужских голендров и попыток включения общности в сферу влияния Лютеранской (Евангельско-Аугсбургской) церкви Царства Польского.</w:t>
      </w:r>
    </w:p>
    <w:p w14:paraId="7EA41690" w14:textId="77777777" w:rsidR="005A00BC" w:rsidRPr="00F7633C" w:rsidRDefault="005A00BC" w:rsidP="00E25B19">
      <w:pPr>
        <w:spacing w:after="0" w:line="240" w:lineRule="auto"/>
        <w:ind w:firstLine="709"/>
        <w:jc w:val="both"/>
        <w:rPr>
          <w:rFonts w:ascii="Times New Roman" w:hAnsi="Times New Roman" w:cs="Times New Roman"/>
          <w:sz w:val="28"/>
          <w:szCs w:val="28"/>
        </w:rPr>
      </w:pPr>
    </w:p>
    <w:p w14:paraId="035DC18F"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работы – проведение источниковедческого анализа материалов польских лютеранских периодических изданий по истории бужских голендров конца </w:t>
      </w:r>
      <w:r>
        <w:rPr>
          <w:rFonts w:ascii="Times New Roman" w:hAnsi="Times New Roman" w:cs="Times New Roman"/>
          <w:sz w:val="28"/>
          <w:szCs w:val="28"/>
          <w:lang w:val="en-US"/>
        </w:rPr>
        <w:t>XIX</w:t>
      </w:r>
      <w:r>
        <w:rPr>
          <w:rFonts w:ascii="Times New Roman" w:hAnsi="Times New Roman" w:cs="Times New Roman"/>
          <w:sz w:val="28"/>
          <w:szCs w:val="28"/>
        </w:rPr>
        <w:t xml:space="preserve"> – 30-х гг. ХХ в. </w:t>
      </w:r>
    </w:p>
    <w:p w14:paraId="3ED72F71"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периодической печати как об историческом источнике писали </w:t>
      </w:r>
      <w:r>
        <w:rPr>
          <w:rFonts w:ascii="Times New Roman" w:hAnsi="Times New Roman" w:cs="Times New Roman"/>
          <w:sz w:val="28"/>
          <w:szCs w:val="28"/>
        </w:rPr>
        <w:br/>
        <w:t>А. М. Панфилова [1], В. М. Рынков [3] и др. Изучением данного вопроса занимался польский исследователь Антони Хорунжий (потомок бужских голендров). В своей статье «</w:t>
      </w:r>
      <w:r>
        <w:rPr>
          <w:rFonts w:ascii="Times New Roman" w:hAnsi="Times New Roman" w:cs="Times New Roman"/>
          <w:sz w:val="28"/>
          <w:szCs w:val="28"/>
          <w:lang w:val="en-US"/>
        </w:rPr>
        <w:t>O</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nadbuzanskich</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olendrach</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z</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Nejdorf</w:t>
      </w:r>
      <w:r>
        <w:rPr>
          <w:rFonts w:ascii="Times New Roman" w:hAnsi="Times New Roman" w:cs="Times New Roman"/>
          <w:sz w:val="28"/>
          <w:szCs w:val="28"/>
        </w:rPr>
        <w:t>-</w:t>
      </w:r>
      <w:r>
        <w:rPr>
          <w:rFonts w:ascii="Times New Roman" w:hAnsi="Times New Roman" w:cs="Times New Roman"/>
          <w:sz w:val="28"/>
          <w:szCs w:val="28"/>
          <w:lang w:val="en-US"/>
        </w:rPr>
        <w:t>Nejbrowa</w:t>
      </w:r>
      <w:r>
        <w:rPr>
          <w:rFonts w:ascii="Times New Roman" w:hAnsi="Times New Roman" w:cs="Times New Roman"/>
          <w:sz w:val="28"/>
          <w:szCs w:val="28"/>
        </w:rPr>
        <w:t xml:space="preserve"> – </w:t>
      </w:r>
      <w:r>
        <w:rPr>
          <w:rFonts w:ascii="Times New Roman" w:hAnsi="Times New Roman" w:cs="Times New Roman"/>
          <w:sz w:val="28"/>
          <w:szCs w:val="28"/>
          <w:lang w:val="en-US"/>
        </w:rPr>
        <w:t>pozn</w:t>
      </w:r>
      <w:r>
        <w:rPr>
          <w:rFonts w:ascii="Times New Roman" w:hAnsi="Times New Roman" w:cs="Times New Roman"/>
          <w:sz w:val="28"/>
          <w:szCs w:val="28"/>
        </w:rPr>
        <w:t xml:space="preserve">. </w:t>
      </w:r>
      <w:r>
        <w:rPr>
          <w:rFonts w:ascii="Times New Roman" w:hAnsi="Times New Roman" w:cs="Times New Roman"/>
          <w:sz w:val="28"/>
          <w:szCs w:val="28"/>
          <w:lang w:val="en-US"/>
        </w:rPr>
        <w:t>Moscic Dolnych i Gornych – w dawnej polskiej prasie religinej i swieckiej. Wybrane</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publikacje</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z</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lat</w:t>
      </w:r>
      <w:r>
        <w:rPr>
          <w:rFonts w:ascii="Times New Roman" w:hAnsi="Times New Roman" w:cs="Times New Roman"/>
          <w:sz w:val="28"/>
          <w:szCs w:val="28"/>
        </w:rPr>
        <w:t xml:space="preserve"> 1885–1935» («О надбужанских [г]олендрах с Нейдорф-Нейбров – позднее Мостиц Дольных и Горных – в давней польской религиозной и светской прессе. Избранные публикации за 1885–1935 гг.») провел археографическую работу [4]. В начале своей статьи А. Хорунжий дает общий исторический контекст развития колоний Нейдорф и Нейбров. Во второй части работы представлены фотокопии статей и заметок о колониях бужских голендров, частичная расшифровка текста (в случаях, когда только с помощью фотокопии невозможно разобрать текст), а также </w:t>
      </w:r>
      <w:r>
        <w:rPr>
          <w:rFonts w:ascii="Times New Roman" w:hAnsi="Times New Roman" w:cs="Times New Roman"/>
          <w:sz w:val="28"/>
          <w:szCs w:val="28"/>
        </w:rPr>
        <w:lastRenderedPageBreak/>
        <w:t xml:space="preserve">комментарий к каждому представленному источнику. Всего было представлено 13 статей и заметок (7 – в лютеранских периодических изданиях). Автор не объясняет, почему именно эти статьи и заметки он использовал для своей работы [4]. Анализируя имеющиеся данные, можно установить, что за указанный период (1882–1935 гг.) только в лютеранских изданиях вышло значительно большее количество сведений о развитии и положении колоний и её протестантского прихода. Необходимо отметить, что материалы лютеранских периодических изданий как исторический источник ещё слабо изучены, что является дополнительным фактом, подтверждающим актуальность данной работы. </w:t>
      </w:r>
    </w:p>
    <w:p w14:paraId="6043C722"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источниками являются материалы польских лютеранских изданий «</w:t>
      </w:r>
      <w:r>
        <w:rPr>
          <w:rFonts w:ascii="Times New Roman" w:hAnsi="Times New Roman" w:cs="Times New Roman"/>
          <w:sz w:val="28"/>
          <w:szCs w:val="28"/>
          <w:shd w:val="clear" w:color="auto" w:fill="FFFFFF"/>
          <w:lang w:val="en-US"/>
        </w:rPr>
        <w:t>G</w:t>
      </w:r>
      <w:r>
        <w:rPr>
          <w:rFonts w:ascii="Times New Roman" w:hAnsi="Times New Roman" w:cs="Times New Roman"/>
          <w:sz w:val="28"/>
          <w:szCs w:val="28"/>
          <w:shd w:val="clear" w:color="auto" w:fill="FFFFFF"/>
        </w:rPr>
        <w:t>ł</w:t>
      </w:r>
      <w:r>
        <w:rPr>
          <w:rFonts w:ascii="Times New Roman" w:hAnsi="Times New Roman" w:cs="Times New Roman"/>
          <w:sz w:val="28"/>
          <w:szCs w:val="28"/>
          <w:shd w:val="clear" w:color="auto" w:fill="FFFFFF"/>
          <w:lang w:val="en-US"/>
        </w:rPr>
        <w:t>osy</w:t>
      </w:r>
      <w:r w:rsidRPr="0097408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Ko</w:t>
      </w:r>
      <w:r>
        <w:rPr>
          <w:rFonts w:ascii="Times New Roman" w:hAnsi="Times New Roman" w:cs="Times New Roman"/>
          <w:sz w:val="28"/>
          <w:szCs w:val="28"/>
          <w:shd w:val="clear" w:color="auto" w:fill="FFFFFF"/>
        </w:rPr>
        <w:t>ś</w:t>
      </w:r>
      <w:r>
        <w:rPr>
          <w:rFonts w:ascii="Times New Roman" w:hAnsi="Times New Roman" w:cs="Times New Roman"/>
          <w:sz w:val="28"/>
          <w:szCs w:val="28"/>
          <w:shd w:val="clear" w:color="auto" w:fill="FFFFFF"/>
          <w:lang w:val="en-US"/>
        </w:rPr>
        <w:t>cielne</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lang w:val="en-US"/>
        </w:rPr>
        <w:t>Zwiastun</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ewangeliczny</w:t>
      </w:r>
      <w:r>
        <w:rPr>
          <w:rFonts w:ascii="Times New Roman" w:hAnsi="Times New Roman" w:cs="Times New Roman"/>
          <w:sz w:val="28"/>
          <w:szCs w:val="28"/>
        </w:rPr>
        <w:t>», «</w:t>
      </w:r>
      <w:r>
        <w:rPr>
          <w:rFonts w:ascii="Times New Roman" w:hAnsi="Times New Roman" w:cs="Times New Roman"/>
          <w:sz w:val="28"/>
          <w:szCs w:val="28"/>
          <w:lang w:val="en-US"/>
        </w:rPr>
        <w:t>Pose</w:t>
      </w:r>
      <w:r>
        <w:rPr>
          <w:rFonts w:ascii="Times New Roman" w:hAnsi="Times New Roman" w:cs="Times New Roman"/>
          <w:sz w:val="28"/>
          <w:szCs w:val="28"/>
        </w:rPr>
        <w:t xml:space="preserve">ł </w:t>
      </w:r>
      <w:r>
        <w:rPr>
          <w:rFonts w:ascii="Times New Roman" w:hAnsi="Times New Roman" w:cs="Times New Roman"/>
          <w:sz w:val="28"/>
          <w:szCs w:val="28"/>
          <w:lang w:val="en-US"/>
        </w:rPr>
        <w:t>Ewangelicki</w:t>
      </w:r>
      <w:r>
        <w:rPr>
          <w:rFonts w:ascii="Times New Roman" w:hAnsi="Times New Roman" w:cs="Times New Roman"/>
          <w:sz w:val="28"/>
          <w:szCs w:val="28"/>
        </w:rPr>
        <w:t>», «</w:t>
      </w:r>
      <w:r>
        <w:rPr>
          <w:rFonts w:ascii="Times New Roman" w:hAnsi="Times New Roman" w:cs="Times New Roman"/>
          <w:sz w:val="28"/>
          <w:szCs w:val="28"/>
          <w:lang w:val="en-US"/>
        </w:rPr>
        <w:t>Kalendarz</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ewangelicki</w:t>
      </w:r>
      <w:r>
        <w:rPr>
          <w:rFonts w:ascii="Times New Roman" w:hAnsi="Times New Roman" w:cs="Times New Roman"/>
          <w:sz w:val="28"/>
          <w:szCs w:val="28"/>
        </w:rPr>
        <w:t>» и «</w:t>
      </w:r>
      <w:r>
        <w:rPr>
          <w:rFonts w:ascii="Times New Roman" w:hAnsi="Times New Roman" w:cs="Times New Roman"/>
          <w:sz w:val="28"/>
          <w:szCs w:val="28"/>
          <w:lang w:val="en-US"/>
        </w:rPr>
        <w:t>Roznik</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Ewangeliczny</w:t>
      </w:r>
      <w:r>
        <w:rPr>
          <w:rFonts w:ascii="Times New Roman" w:hAnsi="Times New Roman" w:cs="Times New Roman"/>
          <w:sz w:val="28"/>
          <w:szCs w:val="28"/>
        </w:rPr>
        <w:t xml:space="preserve">». На страницах этих периодических изданий выходили как статьи, так и заметки о лютеранском приходе бужских голендров. Для данного исследования под понятием «статья» понимается публикация, в которой даётся развернутая оценка наиболее значительным явлениям и событиям жизни общества. Заметка – публикация, раскрывающая основной смысл события и имеющая небольшой объем. Помимо статей и заметок к числу изучаемых в данной работе исторических источников относятся статистические сведения, публикации первоисточников, некрологи (в память о пасторах Нейдорф-Нейбров), объявления и др. </w:t>
      </w:r>
    </w:p>
    <w:p w14:paraId="233B4F53"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исследования использовалась методика, предложенная Ю. А. Русиной, по мнению которой основными составляющими источниковедческого анализа является определение исторических условий появления, авторства, обстоятельств создания, история текста (например, сопоставление черновых и окончательных вариантов текста и др.), истории публикации, интерпретации, а также анализ содержания источника [3, </w:t>
      </w:r>
      <w:r>
        <w:rPr>
          <w:rFonts w:ascii="Times New Roman" w:hAnsi="Times New Roman" w:cs="Times New Roman"/>
          <w:sz w:val="28"/>
          <w:szCs w:val="28"/>
          <w:lang w:val="en-US"/>
        </w:rPr>
        <w:t>c</w:t>
      </w:r>
      <w:r>
        <w:rPr>
          <w:rFonts w:ascii="Times New Roman" w:hAnsi="Times New Roman" w:cs="Times New Roman"/>
          <w:sz w:val="28"/>
          <w:szCs w:val="28"/>
        </w:rPr>
        <w:t>. 189–204].</w:t>
      </w:r>
    </w:p>
    <w:p w14:paraId="355EF32D"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Пограничное положение (в среднем течении р. Западный Буг) общности бужских голендров в прошлом способствовало тому, что в настоящее время оспаривается её принадлежность к истории Беларуси, Польши и Украины. Предки бужских голендров прибыли с территории Европы ещё на рубеже </w:t>
      </w:r>
      <w:r>
        <w:rPr>
          <w:rFonts w:ascii="Times New Roman" w:hAnsi="Times New Roman" w:cs="Times New Roman"/>
          <w:sz w:val="28"/>
          <w:szCs w:val="28"/>
          <w:lang w:val="en-US"/>
        </w:rPr>
        <w:t>XVI</w:t>
      </w:r>
      <w:r>
        <w:rPr>
          <w:rFonts w:ascii="Times New Roman" w:hAnsi="Times New Roman" w:cs="Times New Roman"/>
          <w:sz w:val="28"/>
          <w:szCs w:val="28"/>
        </w:rPr>
        <w:t>–</w:t>
      </w:r>
      <w:r>
        <w:rPr>
          <w:rFonts w:ascii="Times New Roman" w:hAnsi="Times New Roman" w:cs="Times New Roman"/>
          <w:sz w:val="28"/>
          <w:szCs w:val="28"/>
          <w:lang w:val="en-US"/>
        </w:rPr>
        <w:t>XVII</w:t>
      </w:r>
      <w:r w:rsidRPr="0097408C">
        <w:rPr>
          <w:rFonts w:ascii="Times New Roman" w:hAnsi="Times New Roman" w:cs="Times New Roman"/>
          <w:sz w:val="28"/>
          <w:szCs w:val="28"/>
        </w:rPr>
        <w:t xml:space="preserve"> </w:t>
      </w:r>
      <w:r>
        <w:rPr>
          <w:rFonts w:ascii="Times New Roman" w:hAnsi="Times New Roman" w:cs="Times New Roman"/>
          <w:sz w:val="28"/>
          <w:szCs w:val="28"/>
        </w:rPr>
        <w:t xml:space="preserve">вв. Они исповедывали лютеранство (практически все бужские голендры являлись прихожанами кирхи </w:t>
      </w:r>
      <w:r>
        <w:rPr>
          <w:rFonts w:ascii="Times New Roman" w:hAnsi="Times New Roman" w:cs="Times New Roman"/>
          <w:sz w:val="28"/>
          <w:szCs w:val="28"/>
        </w:rPr>
        <w:br/>
        <w:t xml:space="preserve">Св. Троицы в Нейбров), а языком богослужения на ранних этапах исторического развития являлся немецкий. Однако длительное пребывание в изоляции от немецкоязычных лютеранских центров, постоянные контакты с месным населением и переселение в колонии голендров этнических поляков привело к постепенной полонизации прихода кирхи Св. Троицы. </w:t>
      </w:r>
      <w:r>
        <w:rPr>
          <w:rFonts w:ascii="Times New Roman" w:hAnsi="Times New Roman" w:cs="Times New Roman"/>
          <w:sz w:val="28"/>
          <w:szCs w:val="28"/>
        </w:rPr>
        <w:lastRenderedPageBreak/>
        <w:t xml:space="preserve">Уже во второй половине </w:t>
      </w:r>
      <w:r>
        <w:rPr>
          <w:rFonts w:ascii="Times New Roman" w:hAnsi="Times New Roman" w:cs="Times New Roman"/>
          <w:sz w:val="28"/>
          <w:szCs w:val="28"/>
          <w:lang w:val="en-US"/>
        </w:rPr>
        <w:t>XVIII</w:t>
      </w:r>
      <w:r w:rsidRPr="0097408C">
        <w:rPr>
          <w:rFonts w:ascii="Times New Roman" w:hAnsi="Times New Roman" w:cs="Times New Roman"/>
          <w:sz w:val="28"/>
          <w:szCs w:val="28"/>
        </w:rPr>
        <w:t xml:space="preserve"> </w:t>
      </w:r>
      <w:r>
        <w:rPr>
          <w:rFonts w:ascii="Times New Roman" w:hAnsi="Times New Roman" w:cs="Times New Roman"/>
          <w:sz w:val="28"/>
          <w:szCs w:val="28"/>
        </w:rPr>
        <w:t xml:space="preserve">в. языком богослужения в данной лютеранской общине являлся польский [4, </w:t>
      </w:r>
      <w:r>
        <w:rPr>
          <w:rFonts w:ascii="Times New Roman" w:hAnsi="Times New Roman" w:cs="Times New Roman"/>
          <w:sz w:val="28"/>
          <w:szCs w:val="28"/>
          <w:lang w:val="en-US"/>
        </w:rPr>
        <w:t>c</w:t>
      </w:r>
      <w:r>
        <w:rPr>
          <w:rFonts w:ascii="Times New Roman" w:hAnsi="Times New Roman" w:cs="Times New Roman"/>
          <w:sz w:val="28"/>
          <w:szCs w:val="28"/>
        </w:rPr>
        <w:t>. 33–36; 8, с. 72; 24].</w:t>
      </w:r>
    </w:p>
    <w:p w14:paraId="16A3DEE4"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вхождения белорусских землей в состав Российской империи приход Нейдорф-Нейбров был частью к Курляндской консистории. Лютеранская церковь Империи издавала многочисленные издания по истории и положению данной конфессии и конкретных общин [5]. В данных изданиях неоднократно публиковались сведения о Нейдорф и Нейбров. </w:t>
      </w:r>
    </w:p>
    <w:p w14:paraId="27AA86A1"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1880-х гг. помимо изданий Империи сведения о приходе кирхи Св. Троицы стали появляться и на страницах лютеранской периодики Царства Польского.</w:t>
      </w:r>
    </w:p>
    <w:p w14:paraId="53FB91FF"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удалось выявить статьи, заметки и иные сведения в пяти польских лютеранских периодических изданиях, которые выходили в 80-е гг. </w:t>
      </w:r>
      <w:r>
        <w:rPr>
          <w:rFonts w:ascii="Times New Roman" w:hAnsi="Times New Roman" w:cs="Times New Roman"/>
          <w:sz w:val="28"/>
          <w:szCs w:val="28"/>
          <w:lang w:val="en-US"/>
        </w:rPr>
        <w:t>XIX</w:t>
      </w:r>
      <w:r w:rsidRPr="0097408C">
        <w:rPr>
          <w:rFonts w:ascii="Times New Roman" w:hAnsi="Times New Roman" w:cs="Times New Roman"/>
          <w:sz w:val="28"/>
          <w:szCs w:val="28"/>
        </w:rPr>
        <w:t xml:space="preserve"> </w:t>
      </w:r>
      <w:r>
        <w:rPr>
          <w:rFonts w:ascii="Times New Roman" w:hAnsi="Times New Roman" w:cs="Times New Roman"/>
          <w:sz w:val="28"/>
          <w:szCs w:val="28"/>
        </w:rPr>
        <w:t xml:space="preserve">– в 30-е гг. ХХ в. (см. таблицу 1). Необходимо отметить, что сами периодические издания в данном исследовании будут пониматься не как исторические источники, а как место их размещения. </w:t>
      </w:r>
    </w:p>
    <w:p w14:paraId="5BF010EB" w14:textId="77777777" w:rsidR="00A81B93" w:rsidRDefault="00A81B93" w:rsidP="00A81B93">
      <w:pPr>
        <w:spacing w:after="0" w:line="240" w:lineRule="auto"/>
        <w:rPr>
          <w:rFonts w:ascii="Times New Roman" w:hAnsi="Times New Roman" w:cs="Times New Roman"/>
          <w:i/>
          <w:iCs/>
          <w:sz w:val="24"/>
          <w:szCs w:val="24"/>
        </w:rPr>
      </w:pPr>
    </w:p>
    <w:p w14:paraId="23C5F84A" w14:textId="77777777" w:rsidR="00A81B93" w:rsidRDefault="00A81B93" w:rsidP="00A81B93">
      <w:pPr>
        <w:spacing w:after="0" w:line="240" w:lineRule="auto"/>
        <w:rPr>
          <w:rFonts w:ascii="Times New Roman" w:hAnsi="Times New Roman" w:cs="Times New Roman"/>
          <w:sz w:val="24"/>
          <w:szCs w:val="24"/>
        </w:rPr>
      </w:pPr>
      <w:r>
        <w:rPr>
          <w:rFonts w:ascii="Times New Roman" w:hAnsi="Times New Roman" w:cs="Times New Roman"/>
          <w:i/>
          <w:iCs/>
          <w:sz w:val="24"/>
          <w:szCs w:val="24"/>
        </w:rPr>
        <w:t>Таблица 1.</w:t>
      </w:r>
      <w:r>
        <w:rPr>
          <w:rFonts w:ascii="Times New Roman" w:hAnsi="Times New Roman" w:cs="Times New Roman"/>
          <w:sz w:val="24"/>
          <w:szCs w:val="24"/>
        </w:rPr>
        <w:t xml:space="preserve"> Характеристика лютеранских периодических изданий</w:t>
      </w:r>
      <w:r>
        <w:rPr>
          <w:rStyle w:val="af"/>
          <w:rFonts w:ascii="Times New Roman" w:hAnsi="Times New Roman" w:cs="Times New Roman"/>
          <w:sz w:val="24"/>
          <w:szCs w:val="24"/>
        </w:rPr>
        <w:footnoteReference w:id="1"/>
      </w:r>
    </w:p>
    <w:tbl>
      <w:tblPr>
        <w:tblStyle w:val="ae"/>
        <w:tblW w:w="0" w:type="auto"/>
        <w:tblLook w:val="04A0" w:firstRow="1" w:lastRow="0" w:firstColumn="1" w:lastColumn="0" w:noHBand="0" w:noVBand="1"/>
      </w:tblPr>
      <w:tblGrid>
        <w:gridCol w:w="1825"/>
        <w:gridCol w:w="1845"/>
        <w:gridCol w:w="1865"/>
        <w:gridCol w:w="1863"/>
        <w:gridCol w:w="1662"/>
      </w:tblGrid>
      <w:tr w:rsidR="00A81B93" w14:paraId="1273664C"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7CD2FE74"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Название издания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578A499"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Период существования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04F502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Какая организация отвечала за выпуск</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3DC3E34E"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 xml:space="preserve">Периодичность выхода номеров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1EF40513"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Среднее количество страниц</w:t>
            </w:r>
          </w:p>
        </w:tc>
      </w:tr>
      <w:tr w:rsidR="00A81B93" w14:paraId="684A285E"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83485" w14:textId="77777777" w:rsidR="00A81B93" w:rsidRDefault="00A81B93">
            <w:pPr>
              <w:rPr>
                <w:rFonts w:ascii="Times New Roman" w:hAnsi="Times New Roman" w:cs="Times New Roman"/>
                <w:sz w:val="24"/>
                <w:szCs w:val="24"/>
              </w:rPr>
            </w:pPr>
            <w:r>
              <w:rPr>
                <w:rFonts w:ascii="Times New Roman" w:hAnsi="Times New Roman" w:cs="Times New Roman"/>
                <w:sz w:val="24"/>
                <w:szCs w:val="24"/>
                <w:shd w:val="clear" w:color="auto" w:fill="FFFFFF"/>
              </w:rPr>
              <w:t>Głosy Kościelne: w Sprawie Kościoła Ewangelicko-Augsburskiego</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3B406" w14:textId="77777777" w:rsidR="00A81B93" w:rsidRDefault="00A81B93">
            <w:pPr>
              <w:rPr>
                <w:rFonts w:ascii="Times New Roman" w:hAnsi="Times New Roman" w:cs="Times New Roman"/>
                <w:sz w:val="24"/>
                <w:szCs w:val="24"/>
              </w:rPr>
            </w:pPr>
            <w:r>
              <w:rPr>
                <w:rFonts w:ascii="Times New Roman" w:hAnsi="Times New Roman" w:cs="Times New Roman"/>
                <w:sz w:val="24"/>
                <w:szCs w:val="24"/>
                <w:lang w:val="en-US"/>
              </w:rPr>
              <w:t xml:space="preserve">1884–1899 </w:t>
            </w:r>
            <w:r>
              <w:rPr>
                <w:rFonts w:ascii="Times New Roman" w:hAnsi="Times New Roman" w:cs="Times New Roman"/>
                <w:sz w:val="24"/>
                <w:szCs w:val="24"/>
              </w:rPr>
              <w:t>гг.</w:t>
            </w:r>
          </w:p>
          <w:p w14:paraId="5ECE1E9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1925–1939 гг.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9AECD"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Кирха Св. Яна в Лодзе (с 1884 г.),</w:t>
            </w:r>
          </w:p>
          <w:p w14:paraId="6B33BDAB"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Издательство Кароля Кулиша (с 1925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04919" w14:textId="77777777" w:rsidR="00A81B93" w:rsidRDefault="00A81B93">
            <w:pPr>
              <w:rPr>
                <w:rFonts w:ascii="Times New Roman" w:hAnsi="Times New Roman" w:cs="Times New Roman"/>
                <w:sz w:val="24"/>
                <w:szCs w:val="24"/>
                <w:lang w:val="be-BY"/>
              </w:rPr>
            </w:pPr>
            <w:r>
              <w:rPr>
                <w:rFonts w:ascii="Times New Roman" w:hAnsi="Times New Roman" w:cs="Times New Roman"/>
                <w:sz w:val="24"/>
                <w:szCs w:val="24"/>
                <w:lang w:val="be-BY"/>
              </w:rPr>
              <w:t>Раз в две недели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12737"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 xml:space="preserve">8–12 </w:t>
            </w:r>
          </w:p>
        </w:tc>
      </w:tr>
      <w:tr w:rsidR="00A81B93" w14:paraId="7721A244" w14:textId="77777777" w:rsidTr="00F32EA2">
        <w:trPr>
          <w:trHeight w:val="2136"/>
        </w:trPr>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B919C" w14:textId="77777777" w:rsidR="00A81B93" w:rsidRDefault="00A81B93">
            <w:pPr>
              <w:rPr>
                <w:rFonts w:ascii="Times New Roman" w:hAnsi="Times New Roman" w:cs="Times New Roman"/>
                <w:sz w:val="24"/>
                <w:szCs w:val="24"/>
                <w:lang w:val="en-US"/>
              </w:rPr>
            </w:pPr>
            <w:r>
              <w:rPr>
                <w:rFonts w:ascii="Times New Roman" w:hAnsi="Times New Roman" w:cs="Times New Roman"/>
                <w:sz w:val="24"/>
                <w:szCs w:val="24"/>
                <w:lang w:val="en-US"/>
              </w:rPr>
              <w:t>Poseł Ewangelicki : pismo poświęcone sprawom ludu ewangelickiego</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0E0A5A"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1910–1939 гг.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00220"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Силезское общество пасторов</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E60F6"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Еженедельно</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AA751"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 xml:space="preserve">4–8 </w:t>
            </w:r>
          </w:p>
        </w:tc>
      </w:tr>
      <w:tr w:rsidR="00A81B93" w14:paraId="58ED5944"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B14B8"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Zwiastun Ewangeliczny</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6C72A"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lang w:val="en-US"/>
              </w:rPr>
              <w:t>98</w:t>
            </w:r>
            <w:r>
              <w:rPr>
                <w:rFonts w:ascii="Times New Roman" w:hAnsi="Times New Roman" w:cs="Times New Roman"/>
                <w:sz w:val="24"/>
                <w:szCs w:val="24"/>
              </w:rPr>
              <w:t>–19</w:t>
            </w:r>
            <w:r>
              <w:rPr>
                <w:rFonts w:ascii="Times New Roman" w:hAnsi="Times New Roman" w:cs="Times New Roman"/>
                <w:sz w:val="24"/>
                <w:szCs w:val="24"/>
                <w:lang w:val="en-US"/>
              </w:rPr>
              <w:t>12</w:t>
            </w:r>
            <w:r>
              <w:rPr>
                <w:rFonts w:ascii="Times New Roman" w:hAnsi="Times New Roman" w:cs="Times New Roman"/>
                <w:sz w:val="24"/>
                <w:szCs w:val="24"/>
              </w:rPr>
              <w:t xml:space="preserve"> гг.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35473"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Варшавская лютеранская консистория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B907A"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Ежемесячно</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263D9"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32</w:t>
            </w:r>
          </w:p>
        </w:tc>
      </w:tr>
      <w:tr w:rsidR="00A81B93" w14:paraId="56DC2D75"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672F3" w14:textId="77777777" w:rsidR="00A81B93" w:rsidRDefault="00A81B93">
            <w:pPr>
              <w:rPr>
                <w:rFonts w:ascii="Times New Roman" w:hAnsi="Times New Roman" w:cs="Times New Roman"/>
                <w:sz w:val="24"/>
                <w:szCs w:val="24"/>
                <w:lang w:val="en-US"/>
              </w:rPr>
            </w:pPr>
            <w:r>
              <w:rPr>
                <w:rFonts w:ascii="Times New Roman" w:hAnsi="Times New Roman" w:cs="Times New Roman"/>
                <w:sz w:val="24"/>
                <w:szCs w:val="28"/>
                <w:lang w:val="en-US"/>
              </w:rPr>
              <w:t>Przegl</w:t>
            </w:r>
            <w:r>
              <w:rPr>
                <w:rFonts w:ascii="Times New Roman" w:hAnsi="Times New Roman" w:cs="Times New Roman"/>
                <w:sz w:val="24"/>
                <w:szCs w:val="28"/>
              </w:rPr>
              <w:t>ą</w:t>
            </w:r>
            <w:r>
              <w:rPr>
                <w:rFonts w:ascii="Times New Roman" w:hAnsi="Times New Roman" w:cs="Times New Roman"/>
                <w:sz w:val="24"/>
                <w:szCs w:val="28"/>
                <w:lang w:val="en-US"/>
              </w:rPr>
              <w:t>d</w:t>
            </w:r>
            <w:r>
              <w:rPr>
                <w:rFonts w:ascii="Times New Roman" w:hAnsi="Times New Roman" w:cs="Times New Roman"/>
                <w:szCs w:val="24"/>
                <w:lang w:val="en-US"/>
              </w:rPr>
              <w:t xml:space="preserve"> </w:t>
            </w:r>
            <w:r>
              <w:rPr>
                <w:rFonts w:ascii="Times New Roman" w:hAnsi="Times New Roman" w:cs="Times New Roman"/>
                <w:sz w:val="24"/>
                <w:szCs w:val="24"/>
                <w:lang w:val="en-US"/>
              </w:rPr>
              <w:t>ewangelicki</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4A7AC" w14:textId="77777777" w:rsidR="00A81B93" w:rsidRDefault="00A81B93">
            <w:pPr>
              <w:rPr>
                <w:rFonts w:ascii="Times New Roman" w:hAnsi="Times New Roman" w:cs="Times New Roman"/>
                <w:sz w:val="24"/>
                <w:szCs w:val="24"/>
              </w:rPr>
            </w:pPr>
            <w:r>
              <w:rPr>
                <w:rFonts w:ascii="Times New Roman" w:hAnsi="Times New Roman" w:cs="Times New Roman"/>
                <w:sz w:val="24"/>
                <w:szCs w:val="24"/>
                <w:lang w:val="en-US"/>
              </w:rPr>
              <w:t xml:space="preserve">1934–1939 </w:t>
            </w:r>
            <w:r>
              <w:rPr>
                <w:rFonts w:ascii="Times New Roman" w:hAnsi="Times New Roman" w:cs="Times New Roman"/>
                <w:sz w:val="24"/>
                <w:szCs w:val="24"/>
              </w:rPr>
              <w:t>гг.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151B1"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Польские евангелические общины в Померании и Познани</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7D5D5" w14:textId="77777777" w:rsidR="00A81B93" w:rsidRDefault="00A81B93">
            <w:pPr>
              <w:rPr>
                <w:rFonts w:ascii="Times New Roman" w:hAnsi="Times New Roman" w:cs="Times New Roman"/>
                <w:sz w:val="24"/>
                <w:szCs w:val="24"/>
                <w:highlight w:val="yellow"/>
              </w:rPr>
            </w:pPr>
            <w:r>
              <w:rPr>
                <w:rFonts w:ascii="Times New Roman" w:hAnsi="Times New Roman" w:cs="Times New Roman"/>
                <w:sz w:val="24"/>
                <w:szCs w:val="24"/>
              </w:rPr>
              <w:t>Раз в две недели</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320B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8</w:t>
            </w:r>
          </w:p>
        </w:tc>
      </w:tr>
      <w:tr w:rsidR="00A81B93" w14:paraId="673B8B84"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8B4E6" w14:textId="77777777" w:rsidR="00A81B93" w:rsidRDefault="00A81B93">
            <w:pPr>
              <w:rPr>
                <w:rFonts w:ascii="Times New Roman" w:hAnsi="Times New Roman" w:cs="Times New Roman"/>
                <w:sz w:val="24"/>
                <w:szCs w:val="24"/>
              </w:rPr>
            </w:pPr>
            <w:r>
              <w:rPr>
                <w:rFonts w:ascii="Times New Roman" w:hAnsi="Times New Roman" w:cs="Times New Roman"/>
                <w:sz w:val="24"/>
                <w:szCs w:val="24"/>
                <w:lang w:val="en-US"/>
              </w:rPr>
              <w:lastRenderedPageBreak/>
              <w:t>Rocznik Ewangelicki</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0BBC3"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Единственный номер вышел в 1925 г.</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00A5E" w14:textId="77777777" w:rsidR="00A81B93" w:rsidRDefault="00A81B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Союз польских обществ и лютеранских общин в Польше</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AB2E1"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D4FC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419</w:t>
            </w:r>
          </w:p>
        </w:tc>
      </w:tr>
      <w:tr w:rsidR="00A81B93" w14:paraId="3109BE31" w14:textId="77777777" w:rsidTr="00A81B93">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4468E" w14:textId="77777777" w:rsidR="00A81B93" w:rsidRDefault="00A81B93">
            <w:pPr>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alendarz ewangelicki</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39C3E" w14:textId="77777777" w:rsidR="00A81B93" w:rsidRDefault="00A81B93">
            <w:pPr>
              <w:rPr>
                <w:rFonts w:ascii="Times New Roman" w:hAnsi="Times New Roman" w:cs="Times New Roman"/>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lang w:val="en-US"/>
              </w:rPr>
              <w:t>929</w:t>
            </w:r>
            <w:r>
              <w:rPr>
                <w:rFonts w:ascii="Times New Roman" w:hAnsi="Times New Roman" w:cs="Times New Roman"/>
                <w:color w:val="000000" w:themeColor="text1"/>
                <w:sz w:val="24"/>
                <w:szCs w:val="24"/>
              </w:rPr>
              <w:t>–1939 гг</w:t>
            </w:r>
            <w:r>
              <w:rPr>
                <w:rFonts w:ascii="Times New Roman" w:hAnsi="Times New Roman" w:cs="Times New Roman"/>
                <w:sz w:val="24"/>
                <w:szCs w:val="24"/>
              </w:rPr>
              <w:t>.</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DA44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Издательство общества имени Николая Рея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51D80"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Выходил один раз в год</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9972F" w14:textId="77777777" w:rsidR="00A81B93" w:rsidRDefault="00A81B93">
            <w:pPr>
              <w:rPr>
                <w:rFonts w:ascii="Times New Roman" w:hAnsi="Times New Roman" w:cs="Times New Roman"/>
                <w:sz w:val="24"/>
                <w:szCs w:val="24"/>
              </w:rPr>
            </w:pPr>
            <w:r>
              <w:rPr>
                <w:rFonts w:ascii="Times New Roman" w:hAnsi="Times New Roman" w:cs="Times New Roman"/>
                <w:sz w:val="24"/>
                <w:szCs w:val="24"/>
              </w:rPr>
              <w:t>Более 350</w:t>
            </w:r>
          </w:p>
        </w:tc>
      </w:tr>
    </w:tbl>
    <w:p w14:paraId="5DD228A7" w14:textId="77777777" w:rsidR="00A81B93" w:rsidRDefault="00A81B93" w:rsidP="00A81B93">
      <w:pPr>
        <w:spacing w:after="0" w:line="240" w:lineRule="auto"/>
        <w:ind w:firstLine="709"/>
        <w:jc w:val="both"/>
        <w:rPr>
          <w:rFonts w:ascii="Times New Roman" w:hAnsi="Times New Roman" w:cs="Times New Roman"/>
          <w:sz w:val="28"/>
          <w:szCs w:val="28"/>
        </w:rPr>
      </w:pPr>
    </w:p>
    <w:p w14:paraId="6A84AD25" w14:textId="77777777" w:rsidR="00A81B93" w:rsidRDefault="00A81B93" w:rsidP="00A81B93">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rPr>
        <w:t xml:space="preserve">Как можно видеть из представленных сведений, существовали разные виды издания: по периодичности выхода номеров (еженедельные, ежемесячные и ежегодные), по своему характеру (газеты, журналы, календари). </w:t>
      </w:r>
    </w:p>
    <w:p w14:paraId="7EF34E3D" w14:textId="70198CFB"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Авторами статей и заметок для изданий чаще всего были лютеранские пасторы Нейдорф-Нейброва. Среди таких пасторов необходимо назвать Э. Г. Шульца (период пасторства – 1885–1897 гг.), </w:t>
      </w:r>
      <w:r>
        <w:rPr>
          <w:rFonts w:ascii="Times New Roman" w:hAnsi="Times New Roman" w:cs="Times New Roman"/>
          <w:sz w:val="28"/>
          <w:szCs w:val="28"/>
        </w:rPr>
        <w:br/>
        <w:t>С. А. Лоппе (1904–1911 гг.), Я. Пиндора (1918–1924 гг.), Э. Лодвиха (1925–1935 гг.). Интересным можно считать факт, что пасторы Нейдорф и Нейбров были участниками создания</w:t>
      </w:r>
      <w:r w:rsidR="00E94D33">
        <w:rPr>
          <w:rFonts w:ascii="Times New Roman" w:hAnsi="Times New Roman" w:cs="Times New Roman"/>
          <w:sz w:val="28"/>
          <w:szCs w:val="28"/>
        </w:rPr>
        <w:t xml:space="preserve"> двух периодических изданий (Э.</w:t>
      </w:r>
      <w:r>
        <w:rPr>
          <w:rFonts w:ascii="Times New Roman" w:hAnsi="Times New Roman" w:cs="Times New Roman"/>
          <w:sz w:val="28"/>
          <w:szCs w:val="28"/>
        </w:rPr>
        <w:t xml:space="preserve">Г. </w:t>
      </w:r>
      <w:r w:rsidR="00E94D33">
        <w:rPr>
          <w:rFonts w:ascii="Times New Roman" w:hAnsi="Times New Roman" w:cs="Times New Roman"/>
          <w:sz w:val="28"/>
          <w:szCs w:val="28"/>
        </w:rPr>
        <w:t> </w:t>
      </w:r>
      <w:r>
        <w:rPr>
          <w:rFonts w:ascii="Times New Roman" w:hAnsi="Times New Roman" w:cs="Times New Roman"/>
          <w:sz w:val="28"/>
          <w:szCs w:val="28"/>
        </w:rPr>
        <w:t>Шульц был основателем ежемесячника «Zwiastun Ewangeliczny», а Э. Лодвих – ежегодника «</w:t>
      </w:r>
      <w:r>
        <w:rPr>
          <w:rFonts w:ascii="Times New Roman" w:hAnsi="Times New Roman" w:cs="Times New Roman"/>
          <w:sz w:val="28"/>
          <w:szCs w:val="28"/>
          <w:lang w:val="en-US"/>
        </w:rPr>
        <w:t>K</w:t>
      </w:r>
      <w:r>
        <w:rPr>
          <w:rFonts w:ascii="Times New Roman" w:hAnsi="Times New Roman" w:cs="Times New Roman"/>
          <w:sz w:val="28"/>
          <w:szCs w:val="28"/>
        </w:rPr>
        <w:t>alendarz ewangelicki» [11]). Иногда статьи и заметки не содержат информацию об их авторах, однако можно предположить, что для публикации их также подготовили пасторы Нейдорф и Нейбров.</w:t>
      </w:r>
    </w:p>
    <w:p w14:paraId="570D6648" w14:textId="1ED96E2C"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установить определенную закономерность в выборе издания, в которых публиковались сведения о Нейдорф-Нейбровском приходе</w:t>
      </w:r>
      <w:r w:rsidR="00E94D33">
        <w:rPr>
          <w:rFonts w:ascii="Times New Roman" w:hAnsi="Times New Roman" w:cs="Times New Roman"/>
          <w:sz w:val="28"/>
          <w:szCs w:val="28"/>
        </w:rPr>
        <w:t xml:space="preserve"> в тот или иной период. Так, Э.</w:t>
      </w:r>
      <w:r>
        <w:rPr>
          <w:rFonts w:ascii="Times New Roman" w:hAnsi="Times New Roman" w:cs="Times New Roman"/>
          <w:sz w:val="28"/>
          <w:szCs w:val="28"/>
        </w:rPr>
        <w:t>Г. Шульц, как основатель и редактор издания «Zwiastun Ewangeliczny», публиковал свои материалы о приходе на страницах данного журнала [16–19]. Схожая ситуация прослеживается и с пастором Э. Лодвих (публиковал статьи и заметки в издании «</w:t>
      </w:r>
      <w:r>
        <w:rPr>
          <w:rFonts w:ascii="Times New Roman" w:hAnsi="Times New Roman" w:cs="Times New Roman"/>
          <w:sz w:val="28"/>
          <w:szCs w:val="28"/>
          <w:lang w:val="en-US"/>
        </w:rPr>
        <w:t>K</w:t>
      </w:r>
      <w:r>
        <w:rPr>
          <w:rFonts w:ascii="Times New Roman" w:hAnsi="Times New Roman" w:cs="Times New Roman"/>
          <w:sz w:val="28"/>
          <w:szCs w:val="28"/>
        </w:rPr>
        <w:t>alendarz ewangelicki» [13]). Пастор Я. Пиндор чаще всего для публикации предпочитал еженедельник «</w:t>
      </w:r>
      <w:r>
        <w:rPr>
          <w:rFonts w:ascii="Times New Roman" w:hAnsi="Times New Roman" w:cs="Times New Roman"/>
          <w:sz w:val="28"/>
          <w:szCs w:val="28"/>
          <w:lang w:val="en-US"/>
        </w:rPr>
        <w:t>Pose</w:t>
      </w:r>
      <w:r>
        <w:rPr>
          <w:rFonts w:ascii="Times New Roman" w:hAnsi="Times New Roman" w:cs="Times New Roman"/>
          <w:sz w:val="28"/>
          <w:szCs w:val="28"/>
        </w:rPr>
        <w:t xml:space="preserve">ł </w:t>
      </w:r>
      <w:r>
        <w:rPr>
          <w:rFonts w:ascii="Times New Roman" w:hAnsi="Times New Roman" w:cs="Times New Roman"/>
          <w:sz w:val="28"/>
          <w:szCs w:val="28"/>
          <w:lang w:val="en-US"/>
        </w:rPr>
        <w:t>Ewangelicki</w:t>
      </w:r>
      <w:r>
        <w:rPr>
          <w:rFonts w:ascii="Times New Roman" w:hAnsi="Times New Roman" w:cs="Times New Roman"/>
          <w:sz w:val="28"/>
          <w:szCs w:val="28"/>
        </w:rPr>
        <w:t>».</w:t>
      </w:r>
    </w:p>
    <w:p w14:paraId="3819B631" w14:textId="3A802306" w:rsidR="00A81B93" w:rsidRPr="00E94D3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Почти все статьи и заметки пасторов были посвящены событиям в приходе. Часто публикации подавались под заголовком «письмо в редакцию». Можно предположить, что пасторы сами выступали в качестве инициаторов по подготовке публикации и направляли свои материалы в редакции. Возможно, что таким способом руководители прихода хотели заинтересовать своих прихожан читать периодические издания. События, которые освещались, были крайне разными. Это могли быть новости как об открытии и освящению нового кладбища, так и о погромах казаков, которые произошли во время польско-советской войны. Что же касаемо размера публикации, то обычно они были незначительно большими (заметки), </w:t>
      </w:r>
      <w:r>
        <w:rPr>
          <w:rFonts w:ascii="Times New Roman" w:hAnsi="Times New Roman" w:cs="Times New Roman"/>
          <w:sz w:val="28"/>
          <w:szCs w:val="28"/>
        </w:rPr>
        <w:lastRenderedPageBreak/>
        <w:t>однако встречаются и многостраничные тексты. Самой боль</w:t>
      </w:r>
      <w:r w:rsidR="00E94D33">
        <w:rPr>
          <w:rFonts w:ascii="Times New Roman" w:hAnsi="Times New Roman" w:cs="Times New Roman"/>
          <w:sz w:val="28"/>
          <w:szCs w:val="28"/>
        </w:rPr>
        <w:t>шой можно считать публикацию Э.</w:t>
      </w:r>
      <w:r>
        <w:rPr>
          <w:rFonts w:ascii="Times New Roman" w:hAnsi="Times New Roman" w:cs="Times New Roman"/>
          <w:sz w:val="28"/>
          <w:szCs w:val="28"/>
        </w:rPr>
        <w:t>Г. Шульца (вышла в четырех частях), однако часть опубликованного текста – это дословное цитирование первоисточника – хроники Г. Абрахамовича 1776 г. [16–19]</w:t>
      </w:r>
      <w:r w:rsidR="00E94D33">
        <w:rPr>
          <w:rFonts w:ascii="Times New Roman" w:hAnsi="Times New Roman" w:cs="Times New Roman"/>
          <w:sz w:val="28"/>
          <w:szCs w:val="28"/>
        </w:rPr>
        <w:t>.</w:t>
      </w:r>
    </w:p>
    <w:p w14:paraId="4D6F4E11" w14:textId="0119EBE2"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изучаемых источниках крайне выражена позиция авторов. Во многих  статьях приводились факты, доказывающие, что данный приход исключительно польский. Абсолютно все пасторы высказывают идеи о давних связях между лютеранами Нейдорф и Нейбров и польскими общинами. Больше всего внимания данному вопрос</w:t>
      </w:r>
      <w:r w:rsidR="00E94D33">
        <w:rPr>
          <w:rFonts w:ascii="Times New Roman" w:hAnsi="Times New Roman" w:cs="Times New Roman"/>
          <w:sz w:val="28"/>
          <w:szCs w:val="28"/>
        </w:rPr>
        <w:t>у в своих публикациях уделял Э.</w:t>
      </w:r>
      <w:r>
        <w:rPr>
          <w:rFonts w:ascii="Times New Roman" w:hAnsi="Times New Roman" w:cs="Times New Roman"/>
          <w:sz w:val="28"/>
          <w:szCs w:val="28"/>
        </w:rPr>
        <w:t xml:space="preserve">Г. Шульц. Необходимо отметить, что в полной степени нельзя не подтвердить, ни опровергнуть данные суждения, однако о исключительно о польском происхождении данной общины говорить невозможно.  </w:t>
      </w:r>
    </w:p>
    <w:p w14:paraId="4212BAF7"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включения западнобелорусских земель в состав Второй Речи Посполитой пасторы в своих статьях и заметках начали высказывать о лояльности прихожан польской власти. Один из ярких примеров – публикации пастора Э. Лодвиха. Например, в статье «</w:t>
      </w:r>
      <w:r>
        <w:rPr>
          <w:rFonts w:ascii="Times New Roman" w:hAnsi="Times New Roman" w:cs="Times New Roman"/>
          <w:sz w:val="28"/>
          <w:szCs w:val="28"/>
          <w:lang w:val="en-US"/>
        </w:rPr>
        <w:t>Pan</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Prezydent</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Rzeczypospolitej</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w</w:t>
      </w:r>
      <w:r w:rsidRPr="0097408C">
        <w:rPr>
          <w:rFonts w:ascii="Times New Roman" w:hAnsi="Times New Roman" w:cs="Times New Roman"/>
          <w:sz w:val="28"/>
          <w:szCs w:val="28"/>
        </w:rPr>
        <w:t xml:space="preserve"> </w:t>
      </w:r>
      <w:r>
        <w:rPr>
          <w:rFonts w:ascii="Times New Roman" w:hAnsi="Times New Roman" w:cs="Times New Roman"/>
          <w:sz w:val="28"/>
          <w:szCs w:val="28"/>
          <w:lang w:val="en-US"/>
        </w:rPr>
        <w:t>Nejdorf</w:t>
      </w:r>
      <w:r>
        <w:rPr>
          <w:rFonts w:ascii="Times New Roman" w:hAnsi="Times New Roman" w:cs="Times New Roman"/>
          <w:sz w:val="28"/>
          <w:szCs w:val="28"/>
        </w:rPr>
        <w:t>-</w:t>
      </w:r>
      <w:r>
        <w:rPr>
          <w:rFonts w:ascii="Times New Roman" w:hAnsi="Times New Roman" w:cs="Times New Roman"/>
          <w:sz w:val="28"/>
          <w:szCs w:val="28"/>
          <w:lang w:val="en-US"/>
        </w:rPr>
        <w:t>Nejbrowie</w:t>
      </w:r>
      <w:r>
        <w:rPr>
          <w:rFonts w:ascii="Times New Roman" w:hAnsi="Times New Roman" w:cs="Times New Roman"/>
          <w:sz w:val="28"/>
          <w:szCs w:val="28"/>
        </w:rPr>
        <w:t>» («Господин Президент Республики в Нейдорф-Нейбров») пастор рассказал о том, что летом 1928 г. состоялся визит главы государства в бужские колонии [13]. Заметку о визите главы государства также опубликовала и брестская газета «</w:t>
      </w:r>
      <w:r>
        <w:rPr>
          <w:rFonts w:ascii="Times New Roman" w:hAnsi="Times New Roman" w:cs="Times New Roman"/>
          <w:sz w:val="28"/>
          <w:szCs w:val="28"/>
          <w:lang w:val="en-US"/>
        </w:rPr>
        <w:t>Polesie</w:t>
      </w:r>
      <w:r>
        <w:rPr>
          <w:rFonts w:ascii="Times New Roman" w:hAnsi="Times New Roman" w:cs="Times New Roman"/>
          <w:sz w:val="28"/>
          <w:szCs w:val="28"/>
        </w:rPr>
        <w:t xml:space="preserve">» [9]. Анализируя источники, видно, что Э. Лодвих тщательно продумал визит президента Мостицкого. Он стремился показать свою лояльность к польскому государству и продемонстрировать, каких результатов смог достигнуть в Нейдорф и Нейбров. В своей статье пастор впервые высказал официально идею переименовать колонии в честь Игнатия Мостицкого </w:t>
      </w:r>
      <w:r>
        <w:rPr>
          <w:rFonts w:ascii="Times New Roman" w:hAnsi="Times New Roman" w:cs="Times New Roman"/>
          <w:sz w:val="28"/>
          <w:szCs w:val="28"/>
        </w:rPr>
        <w:br/>
        <w:t xml:space="preserve">[9; 13]. </w:t>
      </w:r>
    </w:p>
    <w:p w14:paraId="639B78EF" w14:textId="3E148666"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одну закономерность: первые публикации о приходе Нейдорф и Нейбров стали издаваться после смерти пастора </w:t>
      </w:r>
      <w:r>
        <w:rPr>
          <w:rFonts w:ascii="Times New Roman" w:hAnsi="Times New Roman" w:cs="Times New Roman"/>
          <w:sz w:val="28"/>
          <w:szCs w:val="28"/>
        </w:rPr>
        <w:br/>
        <w:t xml:space="preserve">Э. Фрейера – последний настоятель кирхи, который проходил обучение в Курляндской консистории [6, </w:t>
      </w:r>
      <w:r>
        <w:rPr>
          <w:rFonts w:ascii="Times New Roman" w:hAnsi="Times New Roman" w:cs="Times New Roman"/>
          <w:sz w:val="28"/>
          <w:szCs w:val="28"/>
          <w:lang w:val="en-US"/>
        </w:rPr>
        <w:t>c</w:t>
      </w:r>
      <w:r>
        <w:rPr>
          <w:rFonts w:ascii="Times New Roman" w:hAnsi="Times New Roman" w:cs="Times New Roman"/>
          <w:sz w:val="28"/>
          <w:szCs w:val="28"/>
        </w:rPr>
        <w:t xml:space="preserve">. 56; 7, </w:t>
      </w:r>
      <w:r>
        <w:rPr>
          <w:rFonts w:ascii="Times New Roman" w:hAnsi="Times New Roman" w:cs="Times New Roman"/>
          <w:sz w:val="28"/>
          <w:szCs w:val="28"/>
          <w:lang w:val="en-US"/>
        </w:rPr>
        <w:t>c</w:t>
      </w:r>
      <w:r>
        <w:rPr>
          <w:rFonts w:ascii="Times New Roman" w:hAnsi="Times New Roman" w:cs="Times New Roman"/>
          <w:sz w:val="28"/>
          <w:szCs w:val="28"/>
        </w:rPr>
        <w:t xml:space="preserve">. 47; 8, </w:t>
      </w:r>
      <w:r>
        <w:rPr>
          <w:rFonts w:ascii="Times New Roman" w:hAnsi="Times New Roman" w:cs="Times New Roman"/>
          <w:sz w:val="28"/>
          <w:szCs w:val="28"/>
          <w:lang w:val="en-US"/>
        </w:rPr>
        <w:t>c</w:t>
      </w:r>
      <w:r>
        <w:rPr>
          <w:rFonts w:ascii="Times New Roman" w:hAnsi="Times New Roman" w:cs="Times New Roman"/>
          <w:sz w:val="28"/>
          <w:szCs w:val="28"/>
        </w:rPr>
        <w:t xml:space="preserve">. 72]. После пастора Фрейера всеми руководителями прихода были выходцы из Царства Польского, прошедшие обучение при Варшавской консистории. Самая ранняя из найденных статей рассказывает читателем о назначении Рудольфа Гундлаха пастором Нейдорф-Нейбров [6, </w:t>
      </w:r>
      <w:r>
        <w:rPr>
          <w:rFonts w:ascii="Times New Roman" w:hAnsi="Times New Roman" w:cs="Times New Roman"/>
          <w:sz w:val="28"/>
          <w:szCs w:val="28"/>
          <w:lang w:val="en-US"/>
        </w:rPr>
        <w:t>c</w:t>
      </w:r>
      <w:r>
        <w:rPr>
          <w:rFonts w:ascii="Times New Roman" w:hAnsi="Times New Roman" w:cs="Times New Roman"/>
          <w:sz w:val="28"/>
          <w:szCs w:val="28"/>
        </w:rPr>
        <w:t xml:space="preserve">. 56]. Для Курляндской консистории решение допустить к пасторскому служению в бужских колониях выходцев из Царства Польского стало вынужденным. Она не могла подобрать для единственного польскоязычного прихода подходящей кандидатуры на роль пастора. С одной стороны, после «допуска» польских священослужителей к позиции пастора Нейдорф-Нейбров началось постепенное сближение прихода бужских голендров с лютеранами Царства Польского. С другой стороны, для верующих Варшавской консистории произошло «открытие» </w:t>
      </w:r>
      <w:r>
        <w:rPr>
          <w:rFonts w:ascii="Times New Roman" w:hAnsi="Times New Roman" w:cs="Times New Roman"/>
          <w:sz w:val="28"/>
          <w:szCs w:val="28"/>
        </w:rPr>
        <w:lastRenderedPageBreak/>
        <w:t>польскоязычной общины на Полесье, которая, возможна, могла вызвать интерес у читалеля. Так, в конце заметки за 1899 г. в издании «Zwiastun Ewangeliczny» автор выражает надежду на то, что скоро читатели смогут больше узнать об этом приходе [23]. Также о факте «открытия» прихода для лют</w:t>
      </w:r>
      <w:r w:rsidR="00E94D33">
        <w:rPr>
          <w:rFonts w:ascii="Times New Roman" w:hAnsi="Times New Roman" w:cs="Times New Roman"/>
          <w:sz w:val="28"/>
          <w:szCs w:val="28"/>
        </w:rPr>
        <w:t>еран Царства Польского пишет Э.</w:t>
      </w:r>
      <w:r>
        <w:rPr>
          <w:rFonts w:ascii="Times New Roman" w:hAnsi="Times New Roman" w:cs="Times New Roman"/>
          <w:sz w:val="28"/>
          <w:szCs w:val="28"/>
        </w:rPr>
        <w:t>Г. Шульц: «Об этой сельской общине, до недавнего времени у нас малоизвестной, отрезанной от мира и не имеющей никакой связи с остальными польскими евангелическими общинами, только в конце прошлого столетия, благодаря постройке Брест-Холмской железной дороги, можно было узнать лучше» [16].</w:t>
      </w:r>
    </w:p>
    <w:p w14:paraId="5E7B558B" w14:textId="77777777" w:rsidR="00A81B93" w:rsidRDefault="00A81B93" w:rsidP="00A81B93">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8"/>
        </w:rPr>
        <w:t xml:space="preserve">В рамках публикаций, в которых показывались статистические данные о положении лютеранской церкви, представляются сведения о количестве прихожан, совершенных за год крещений, бракосочетаний и погребений, о строениях и о другом недвижимом имуществе, принадлежащем приходу, об деятельности лютеранских школ и др. Подобного рода данные выходили в период 1920-х – 1930-х гг. в издании </w:t>
      </w:r>
      <w:r>
        <w:rPr>
          <w:rFonts w:ascii="Times New Roman" w:hAnsi="Times New Roman" w:cs="Times New Roman"/>
          <w:sz w:val="32"/>
          <w:szCs w:val="28"/>
        </w:rPr>
        <w:t>«</w:t>
      </w:r>
      <w:r>
        <w:rPr>
          <w:rFonts w:ascii="Times New Roman" w:hAnsi="Times New Roman" w:cs="Times New Roman"/>
          <w:sz w:val="28"/>
          <w:szCs w:val="24"/>
          <w:lang w:val="en-US"/>
        </w:rPr>
        <w:t>K</w:t>
      </w:r>
      <w:r>
        <w:rPr>
          <w:rFonts w:ascii="Times New Roman" w:hAnsi="Times New Roman" w:cs="Times New Roman"/>
          <w:sz w:val="28"/>
          <w:szCs w:val="24"/>
        </w:rPr>
        <w:t>alendarz ewangelicki» [14].</w:t>
      </w:r>
    </w:p>
    <w:p w14:paraId="3C8DA4D7"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4"/>
        </w:rPr>
        <w:t>Косвенное отношение к истории колоний бужских голендров имееют некрологи, в память о пасторах Нейдорф-Нейбров [12; 15]. В данных источниках лишь фрагментарно рассказывается о деятельности пасторов в приходе.</w:t>
      </w:r>
    </w:p>
    <w:p w14:paraId="20F9A2CD"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Отдельным видом источников можно считать объявления, которые публиковались на страницах издания. Так, в 1927 г. пастор Э. Лодвих через объявление искал для одной из лютеранских школ в колониях бужских голендров преподавателя.</w:t>
      </w:r>
    </w:p>
    <w:p w14:paraId="23E74C05"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письменных источников на страницах периодики выходили и визуальные источники – фотографии. Среди изображений обнаруженных в ходе исследования необходимо назвать фотографии пасторов, интерьера и экстерьера кирхи Св. Троицы, а также кадры, запечатлевшие значимые мероприятия в жизни общины [13].</w:t>
      </w:r>
    </w:p>
    <w:p w14:paraId="7B5C2278"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 хотелось бы отметить следующее: </w:t>
      </w:r>
    </w:p>
    <w:p w14:paraId="18A360D0"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Анализируя собранные сведения, однозначно нельзя говорить, что на страницах польских лютеранских периодических изданий выходило значительное количество публикаций о лютеранском приходе Нейдорф и Нейбров, однако, несмотря на их идеологическую направленность, они являются важным дополнением к источниковой базе по исследованию положения бужских голендров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 в 30-х гг. </w:t>
      </w:r>
      <w:r>
        <w:rPr>
          <w:rFonts w:ascii="Times New Roman" w:hAnsi="Times New Roman" w:cs="Times New Roman"/>
          <w:sz w:val="28"/>
          <w:szCs w:val="28"/>
          <w:lang w:val="en-US"/>
        </w:rPr>
        <w:t>XX</w:t>
      </w:r>
      <w:r>
        <w:rPr>
          <w:rFonts w:ascii="Times New Roman" w:hAnsi="Times New Roman" w:cs="Times New Roman"/>
          <w:sz w:val="28"/>
          <w:szCs w:val="28"/>
        </w:rPr>
        <w:t xml:space="preserve"> в.</w:t>
      </w:r>
    </w:p>
    <w:p w14:paraId="4EC5D1EB"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 числу исторических источников, опубликованных на страницах периодик, можно отнести статьи, заметки, некрологи, статистические данные, объявления, фотографии. </w:t>
      </w:r>
    </w:p>
    <w:p w14:paraId="161313B8" w14:textId="5209F5CD"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Основными авторами данных исторических источников являются пасторы кирхи Св. Троицы в Ней</w:t>
      </w:r>
      <w:r w:rsidR="00E94D33">
        <w:rPr>
          <w:rFonts w:ascii="Times New Roman" w:hAnsi="Times New Roman" w:cs="Times New Roman"/>
          <w:sz w:val="28"/>
          <w:szCs w:val="28"/>
        </w:rPr>
        <w:t xml:space="preserve">дорф и Нейбров (Э.Г. Шульц, </w:t>
      </w:r>
      <w:r w:rsidR="00E94D33">
        <w:rPr>
          <w:rFonts w:ascii="Times New Roman" w:hAnsi="Times New Roman" w:cs="Times New Roman"/>
          <w:sz w:val="28"/>
          <w:szCs w:val="28"/>
        </w:rPr>
        <w:br/>
      </w:r>
      <w:r w:rsidR="00E94D33">
        <w:rPr>
          <w:rFonts w:ascii="Times New Roman" w:hAnsi="Times New Roman" w:cs="Times New Roman"/>
          <w:sz w:val="28"/>
          <w:szCs w:val="28"/>
        </w:rPr>
        <w:lastRenderedPageBreak/>
        <w:t>С.</w:t>
      </w:r>
      <w:r>
        <w:rPr>
          <w:rFonts w:ascii="Times New Roman" w:hAnsi="Times New Roman" w:cs="Times New Roman"/>
          <w:sz w:val="28"/>
          <w:szCs w:val="28"/>
        </w:rPr>
        <w:t>А. Лоппе, Я. Пиндор, Э. Лодвих). Возможно, они сами выступали инициаторами публикации материалов на страницах периодических изданий. Ряд пасторов входили в число основателей периодических изданий. Можно проследить определённую закономерность выбора издания для публикации.</w:t>
      </w:r>
    </w:p>
    <w:p w14:paraId="74E82A2B" w14:textId="77777777" w:rsidR="00A81B93" w:rsidRDefault="00A81B93" w:rsidP="00A81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Можно говорить, что данные публикации могли использоваться в качестве элементов полонизации бужских голендров, сближения прихода кирхи Св. троицы с лютеранами Польши. В межвоенное время изучаемые публикации демонстрировали лояльность глав общины к польской власти.</w:t>
      </w:r>
    </w:p>
    <w:p w14:paraId="37C3CEA0" w14:textId="77777777" w:rsidR="003D3C47" w:rsidRDefault="003D3C47" w:rsidP="00E25B19">
      <w:pPr>
        <w:spacing w:after="0" w:line="240" w:lineRule="auto"/>
        <w:ind w:firstLine="709"/>
        <w:jc w:val="both"/>
        <w:rPr>
          <w:rFonts w:ascii="Times New Roman" w:hAnsi="Times New Roman" w:cs="Times New Roman"/>
          <w:sz w:val="28"/>
          <w:szCs w:val="28"/>
        </w:rPr>
      </w:pPr>
    </w:p>
    <w:p w14:paraId="300F9852" w14:textId="77777777" w:rsidR="00F32EA2" w:rsidRDefault="00F32EA2" w:rsidP="00E25B19">
      <w:pPr>
        <w:spacing w:after="0" w:line="240" w:lineRule="auto"/>
        <w:ind w:firstLine="709"/>
        <w:jc w:val="both"/>
        <w:rPr>
          <w:rFonts w:ascii="Times New Roman" w:hAnsi="Times New Roman" w:cs="Times New Roman"/>
          <w:sz w:val="28"/>
          <w:szCs w:val="28"/>
        </w:rPr>
      </w:pPr>
    </w:p>
    <w:p w14:paraId="159C1556"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 Панфилова, А. М. Советская периодическая печать как исторический источник. Учебно-методическое пособие. / А. М. Панфилова. – М. : МГУ, 1974. – 63 с.</w:t>
      </w:r>
    </w:p>
    <w:p w14:paraId="1FEB4E33"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 Русина, Ю. А. Методология источниковедения : [учеб. пособие] / Ю. А. Русина. – Екатеринбург : Изд-во Урал. ун-та, 2015. – 204 с.</w:t>
      </w:r>
    </w:p>
    <w:p w14:paraId="2123B8B8"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3. Рынков, В. М. Периодическая печать: место в системе исторических источников / В. М. Рынков // Отечественные архивы. – 2010. – № 3. – С. 44–50.</w:t>
      </w:r>
    </w:p>
    <w:p w14:paraId="72723B8A"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4. Chorąży, A. O nadbuzanskich olendrach z Nejdorf-Nejbrowa – pozn. Moscic Dolnych i Gornych – w dawnej polskiej prasie religinej i swieckiej. Wybrane publikacje z lat 1885–1935 / A. Chorąży // Nadbużańskie Sławatycze. – 2015. – R. XVI. – S. 33–56.</w:t>
      </w:r>
    </w:p>
    <w:p w14:paraId="23630F07"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5. Ergänzungen der Materialien zur Geschichte und Statistik des Kirchen und Schulwesens der Ev-Luth. Gemeinden in Russland // Editor: E. H. Busch. – St. Petersburg, Leipzig : Haessel, 1867. – 755 s.</w:t>
      </w:r>
    </w:p>
    <w:p w14:paraId="2A44369E"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6. Głosy kościelne. – 1885. – R. 2. – № 7. – 3(15) kwiet. –  S. 49–56.</w:t>
      </w:r>
    </w:p>
    <w:p w14:paraId="15F01249"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7. Głosy kościelne. – 1887. – R. 4. – №  6. – 13(30)  marc. –  S. 41–48.</w:t>
      </w:r>
    </w:p>
    <w:p w14:paraId="35FA278D"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8. Głosy kościelne. – 1888. – R. 5. – №  9. – 3 (15) maj. –  S. 65–72.</w:t>
      </w:r>
    </w:p>
    <w:p w14:paraId="58CC2C6E"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9. Jak wieś poleska wiatała Pana Prezydenta Rzeczypospolitej // Polesie. – 1928. – № 1. – 1. sierp. – S. 2–3.</w:t>
      </w:r>
    </w:p>
    <w:p w14:paraId="2BD15A7E"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 xml:space="preserve">10. Kalendarz ewangelicki na rok zwyczajny 1935 / Ustronie:Drukarnia Adama Wałacha, 1935 – R. 7. – 320 s. </w:t>
      </w:r>
    </w:p>
    <w:p w14:paraId="476D1B26" w14:textId="51DE6FFA" w:rsidR="00A81B93" w:rsidRPr="00A81B93" w:rsidRDefault="00A81B93" w:rsidP="00F32EA2">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11. Кs. Ewald Lodwich, członek – załoźyciel T-wa Wyd. M. Reja // Kalendarz ewangelicki na rok zwycza</w:t>
      </w:r>
      <w:r w:rsidR="00F32EA2">
        <w:rPr>
          <w:rFonts w:ascii="Times New Roman" w:hAnsi="Times New Roman" w:cs="Times New Roman"/>
          <w:sz w:val="24"/>
          <w:szCs w:val="24"/>
          <w:lang w:val="be-BY"/>
        </w:rPr>
        <w:t xml:space="preserve">jny 1929 / Warszawa: Tow. Wyd. </w:t>
      </w:r>
      <w:r w:rsidRPr="00A81B93">
        <w:rPr>
          <w:rFonts w:ascii="Times New Roman" w:hAnsi="Times New Roman" w:cs="Times New Roman"/>
          <w:sz w:val="24"/>
          <w:szCs w:val="24"/>
          <w:lang w:val="be-BY"/>
        </w:rPr>
        <w:t>im. Mikołaja Reja, 1929 – R. 1. – S. 42.</w:t>
      </w:r>
    </w:p>
    <w:p w14:paraId="3FB75420"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 xml:space="preserve">12. Ks. Proboszcz T. Zirkwitz przeszedł w stan spoczynku // Przegląd ewangelicki. – 1938. – R. V. –  Nr. 2. – 9 stycz. – S. 23. </w:t>
      </w:r>
    </w:p>
    <w:p w14:paraId="772328DD"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13. Lodwich, E. Pan Prezydent Rzeczypospolitej w Nejdorf-Nejbrowie / E. Lodwich // Kalendarz ewangelicki na rok zwyczajny 1929 / Warszawa: Tow. Wyd. im. Mikołaja Reja, 1929 – R. 1. – S. 136–139.</w:t>
      </w:r>
    </w:p>
    <w:p w14:paraId="1AE38CF1"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 xml:space="preserve">14. Rocznik ewangelicki. 1925. – Warsawa : Związek Polski Towarzystw i Zborów Ewangelickich w Państwie Polskiem, 1925. – 419 s. </w:t>
      </w:r>
    </w:p>
    <w:p w14:paraId="26A2A755"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15. Schoeneich, A. Ks. E. H. Schultz / A. Schoeneich // Zwiastun Ewangeliczny. – 1903. – R. 6. – №  7. – 02(15) lip. – S. 196–201.</w:t>
      </w:r>
    </w:p>
    <w:p w14:paraId="48FA410B"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16. Schultz, E. H. Kronika zboru ewangelicko-luterskiego Nejdorfskiego / E. H. Schultz // Zwiastun Ewangeliczny. – 1902. – R. 5. – № 8. – 02(15) sierp. – S. 228–234.</w:t>
      </w:r>
    </w:p>
    <w:p w14:paraId="439E22AE"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17. Schultz, E. H. Kronika zboru ewangelicko-luterskiego Nejdorfskiego / E. H. Schultz // Zwiastun Ewangeliczny. – 1902. – R. 5. – № 9. – 02(15) wrzes. – S. 263–265.</w:t>
      </w:r>
    </w:p>
    <w:p w14:paraId="24A54554"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lastRenderedPageBreak/>
        <w:t>18. Schultz, E. H. Kronika zboru ewangelicko-luterskiego Nejdorfskiego / E. H. Schultz // Zwiastun Ewangeliczny. – 1902. – R. 5. – № 10. – 02(15) pázdz. – S. 294–299.</w:t>
      </w:r>
    </w:p>
    <w:p w14:paraId="7361725E"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19. Schultz, E. H. Kronika zboru ewangelicko-luterskiego Nejdorfskiego / E. H. Schultz // Zwiastun Ewangeliczny. – 1902. – R. 5. – № 12. – 02(15) grudz. – S. 363–368.</w:t>
      </w:r>
    </w:p>
    <w:p w14:paraId="7C6D6B98"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20. Schultz, E. H. Wiadomości ze świata i koscioła / E. H. Schultz // Głosy kościelne. – 1889. – R. 6. – № 5. – 3(15) marz. –  S. 40.</w:t>
      </w:r>
    </w:p>
    <w:p w14:paraId="0CC59258"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21. Śląska Biblioteka Cyfrowa [Электронный ресурс].– Режим доступа : https://www.sbc.org.pl/dlibra. – Дата доступа: 01.05.2025.</w:t>
      </w:r>
    </w:p>
    <w:p w14:paraId="128BF1A5"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22. Wiadomości ze świata i koscioła // Głosy kościelne. – 1886. – R. 3. – № 5. – 3(15) marc. –  S. 39–40.</w:t>
      </w:r>
    </w:p>
    <w:p w14:paraId="1DC1F8D9"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23. Z kolonji Nejdorf-Nejbrowo // Zwiastun ewangeliczny. – 1899. – R. 2. – № 1. – 3(15) stycz. – S. 28–29.</w:t>
      </w:r>
    </w:p>
    <w:p w14:paraId="35744F42" w14:textId="77777777" w:rsidR="00A81B93" w:rsidRPr="00A81B93" w:rsidRDefault="00A81B93" w:rsidP="00A81B93">
      <w:pPr>
        <w:spacing w:after="0" w:line="240" w:lineRule="auto"/>
        <w:ind w:firstLine="709"/>
        <w:jc w:val="both"/>
        <w:rPr>
          <w:rFonts w:ascii="Times New Roman" w:hAnsi="Times New Roman" w:cs="Times New Roman"/>
          <w:sz w:val="24"/>
          <w:szCs w:val="24"/>
          <w:lang w:val="be-BY"/>
        </w:rPr>
      </w:pPr>
      <w:r w:rsidRPr="00A81B93">
        <w:rPr>
          <w:rFonts w:ascii="Times New Roman" w:hAnsi="Times New Roman" w:cs="Times New Roman"/>
          <w:sz w:val="24"/>
          <w:szCs w:val="24"/>
          <w:lang w:val="be-BY"/>
        </w:rPr>
        <w:t>24. Ze wspomnień podróźnego // Głosy kościelne. – 1889. – R. 6. – № 15. – 3 (15) sierp. –  S. 124–126.</w:t>
      </w:r>
    </w:p>
    <w:p w14:paraId="0CD919A2" w14:textId="77777777" w:rsidR="00A3150F" w:rsidRPr="00F7633C" w:rsidRDefault="00A3150F" w:rsidP="00E25B19">
      <w:pPr>
        <w:spacing w:after="0" w:line="240" w:lineRule="auto"/>
        <w:ind w:firstLine="709"/>
        <w:jc w:val="both"/>
        <w:rPr>
          <w:rFonts w:ascii="Times New Roman" w:hAnsi="Times New Roman" w:cs="Times New Roman"/>
          <w:sz w:val="28"/>
          <w:szCs w:val="28"/>
          <w:lang w:val="be-BY"/>
        </w:rPr>
      </w:pPr>
    </w:p>
    <w:p w14:paraId="6836D7E0" w14:textId="77777777" w:rsidR="009A7D6C" w:rsidRPr="009D63FE" w:rsidRDefault="000C69B3" w:rsidP="00E25B19">
      <w:pPr>
        <w:pStyle w:val="Standard"/>
        <w:jc w:val="center"/>
        <w:rPr>
          <w:i/>
          <w:lang w:val="be-BY"/>
        </w:rPr>
      </w:pPr>
      <w:hyperlink w:anchor="_СОДЕРЖАНИЕ" w:history="1">
        <w:r w:rsidR="009A7D6C" w:rsidRPr="009D63FE">
          <w:rPr>
            <w:rStyle w:val="a9"/>
            <w:rFonts w:ascii="Times New Roman" w:hAnsi="Times New Roman" w:cs="Times New Roman"/>
            <w:i/>
            <w:color w:val="auto"/>
            <w:sz w:val="28"/>
            <w:szCs w:val="28"/>
            <w:u w:val="none"/>
            <w:lang w:val="be-BY"/>
          </w:rPr>
          <w:t>К содержанию</w:t>
        </w:r>
      </w:hyperlink>
    </w:p>
    <w:p w14:paraId="18A70EE9" w14:textId="77777777" w:rsidR="00340D9D" w:rsidRDefault="00340D9D" w:rsidP="00EA6199">
      <w:pPr>
        <w:spacing w:after="0" w:line="240" w:lineRule="auto"/>
        <w:ind w:firstLine="709"/>
        <w:jc w:val="both"/>
        <w:rPr>
          <w:rFonts w:ascii="Times New Roman" w:hAnsi="Times New Roman" w:cs="Times New Roman"/>
          <w:sz w:val="28"/>
          <w:szCs w:val="28"/>
          <w:lang w:val="be-BY"/>
        </w:rPr>
      </w:pPr>
    </w:p>
    <w:p w14:paraId="332EAE72" w14:textId="77777777" w:rsidR="00340D9D" w:rsidRDefault="00340D9D" w:rsidP="00EA6199">
      <w:pPr>
        <w:spacing w:after="0" w:line="240" w:lineRule="auto"/>
        <w:ind w:firstLine="709"/>
        <w:jc w:val="both"/>
        <w:rPr>
          <w:rFonts w:ascii="Times New Roman" w:hAnsi="Times New Roman" w:cs="Times New Roman"/>
          <w:sz w:val="28"/>
          <w:szCs w:val="28"/>
          <w:lang w:val="be-BY"/>
        </w:rPr>
      </w:pPr>
    </w:p>
    <w:p w14:paraId="0BBC6186" w14:textId="77777777" w:rsidR="00340D9D" w:rsidRDefault="00340D9D" w:rsidP="00EA6199">
      <w:pPr>
        <w:spacing w:after="0" w:line="240" w:lineRule="auto"/>
        <w:ind w:firstLine="709"/>
        <w:jc w:val="both"/>
        <w:rPr>
          <w:rFonts w:ascii="Times New Roman" w:hAnsi="Times New Roman" w:cs="Times New Roman"/>
          <w:sz w:val="28"/>
          <w:szCs w:val="28"/>
          <w:lang w:val="be-BY"/>
        </w:rPr>
      </w:pPr>
    </w:p>
    <w:p w14:paraId="3A292819" w14:textId="03413989" w:rsidR="005600EC" w:rsidRPr="00E445B3" w:rsidRDefault="005600EC" w:rsidP="005600EC">
      <w:pPr>
        <w:pStyle w:val="12"/>
        <w:rPr>
          <w:lang w:val="ru-RU"/>
        </w:rPr>
      </w:pPr>
      <w:r>
        <w:t>УДК</w:t>
      </w:r>
      <w:r w:rsidR="00E445B3">
        <w:rPr>
          <w:lang w:val="ru-RU"/>
        </w:rPr>
        <w:t xml:space="preserve"> </w:t>
      </w:r>
      <w:r w:rsidR="00E445B3">
        <w:t>93/94</w:t>
      </w:r>
      <w:r w:rsidR="00E445B3" w:rsidRPr="00A81B93">
        <w:t>(476)</w:t>
      </w:r>
    </w:p>
    <w:p w14:paraId="17C3B443" w14:textId="77777777" w:rsidR="005600EC" w:rsidRDefault="005600EC" w:rsidP="005600EC">
      <w:pPr>
        <w:pStyle w:val="14"/>
      </w:pPr>
      <w:bookmarkStart w:id="40" w:name="_Toc181884604"/>
      <w:bookmarkStart w:id="41" w:name="_Toc181894096"/>
      <w:r>
        <w:t>Е.Л. КОНОНЧУК</w:t>
      </w:r>
      <w:bookmarkEnd w:id="40"/>
      <w:bookmarkEnd w:id="41"/>
      <w:r>
        <w:t xml:space="preserve"> </w:t>
      </w:r>
    </w:p>
    <w:p w14:paraId="57F409B1" w14:textId="11C4FCED" w:rsidR="005600EC" w:rsidRDefault="005600EC" w:rsidP="005600EC">
      <w:pPr>
        <w:pStyle w:val="3"/>
      </w:pPr>
      <w:r>
        <w:t>Брест, БрГУ имени А.С. Пушкина</w:t>
      </w:r>
    </w:p>
    <w:p w14:paraId="4824B77F" w14:textId="406CC31A" w:rsidR="005600EC" w:rsidRDefault="005600EC" w:rsidP="005600EC">
      <w:pPr>
        <w:pStyle w:val="4"/>
      </w:pPr>
      <w:r>
        <w:t>Научный руководитель</w:t>
      </w:r>
      <w:r>
        <w:rPr>
          <w:lang w:val="ru-RU"/>
        </w:rPr>
        <w:t xml:space="preserve"> –</w:t>
      </w:r>
      <w:r>
        <w:t xml:space="preserve"> </w:t>
      </w:r>
      <w:r>
        <w:rPr>
          <w:lang w:val="ru-RU"/>
        </w:rPr>
        <w:t xml:space="preserve">Е. А. </w:t>
      </w:r>
      <w:r>
        <w:t xml:space="preserve">Бурик, </w:t>
      </w:r>
      <w:r w:rsidR="00C84747">
        <w:rPr>
          <w:lang w:val="ru-RU"/>
        </w:rPr>
        <w:t>к.и.н.,</w:t>
      </w:r>
      <w:r>
        <w:t xml:space="preserve"> доцент.</w:t>
      </w:r>
    </w:p>
    <w:p w14:paraId="43A06811" w14:textId="77777777" w:rsidR="005600EC" w:rsidRDefault="005600EC" w:rsidP="005600EC">
      <w:pPr>
        <w:pStyle w:val="4"/>
      </w:pPr>
    </w:p>
    <w:p w14:paraId="7BC52159" w14:textId="466C0C30" w:rsidR="005600EC" w:rsidRDefault="005600EC" w:rsidP="005600EC">
      <w:pPr>
        <w:pStyle w:val="5"/>
      </w:pPr>
      <w:r>
        <w:t>ФОРМИРОВАНИЕ УСАДЕБНО-ПАРКОВОГО КОМПЛЕКСА РОДА УРСЫН НЕМЦЕВИЧЕЙ В</w:t>
      </w:r>
      <w:r w:rsidR="00C84747" w:rsidRPr="00C84747">
        <w:t xml:space="preserve"> исторической ретроспективе</w:t>
      </w:r>
    </w:p>
    <w:p w14:paraId="549D56FB" w14:textId="77777777" w:rsidR="005600EC" w:rsidRDefault="005600EC" w:rsidP="005600EC">
      <w:pPr>
        <w:spacing w:after="0" w:line="360" w:lineRule="exact"/>
        <w:jc w:val="both"/>
        <w:rPr>
          <w:rFonts w:ascii="Times New Roman" w:eastAsia="Calibri" w:hAnsi="Times New Roman" w:cs="Times New Roman"/>
          <w:bCs/>
          <w:sz w:val="28"/>
          <w:szCs w:val="28"/>
        </w:rPr>
      </w:pPr>
    </w:p>
    <w:p w14:paraId="331EBA92" w14:textId="77777777" w:rsidR="005600EC" w:rsidRDefault="005600EC" w:rsidP="005600EC">
      <w:pPr>
        <w:pStyle w:val="6"/>
      </w:pPr>
      <w:r>
        <w:t>В статье рассматривается процесс формирования усадебно-паркового комплекса в д. Ск</w:t>
      </w:r>
      <w:r w:rsidRPr="005600EC">
        <w:rPr>
          <w:rStyle w:val="60"/>
        </w:rPr>
        <w:t>ок</w:t>
      </w:r>
      <w:r>
        <w:t>и, который происходил в течение XVIII – первой половины XIX в. и связан он с деятельностью представителей шляхетского рода Урсын Немцевичей, герба «Равич». Высокое духовное значение усадебно-паркового комплекса семьи Урсын Немцевичей предполагает его музеефикацию и практическое использование в музейной деятельности.</w:t>
      </w:r>
    </w:p>
    <w:p w14:paraId="3CE82F48" w14:textId="77777777" w:rsidR="005600EC" w:rsidRDefault="005600EC" w:rsidP="005600EC">
      <w:pPr>
        <w:pStyle w:val="7"/>
      </w:pPr>
    </w:p>
    <w:p w14:paraId="326AB87F" w14:textId="77777777" w:rsidR="005600EC" w:rsidRDefault="005600EC" w:rsidP="005600EC">
      <w:pPr>
        <w:pStyle w:val="7"/>
      </w:pPr>
      <w:r>
        <w:t>К северу от Бреста, в деревне Скоки сохранилась усадьба рода Урсын Немцевичей, которая относится к ХVI</w:t>
      </w:r>
      <w:r>
        <w:rPr>
          <w:lang w:val="en-US"/>
        </w:rPr>
        <w:t>II</w:t>
      </w:r>
      <w:r>
        <w:t xml:space="preserve"> в.</w:t>
      </w:r>
    </w:p>
    <w:p w14:paraId="4334A3B9" w14:textId="77777777" w:rsidR="005600EC" w:rsidRDefault="005600EC" w:rsidP="005600EC">
      <w:pPr>
        <w:pStyle w:val="7"/>
      </w:pPr>
      <w:r>
        <w:t>Деревня Скоки известна с конца ХVI века как собственность землевладельца Чижевского. Однако уже через несколько десятилетий они перешли во владение хотя и не очень богатого, но, от того, не менее известного белорусского шляхетского рода Урсын Немцевичей, которым в округе принадлежали также деревни Клейники, Непли и Адамково.</w:t>
      </w:r>
    </w:p>
    <w:p w14:paraId="5579C3E7" w14:textId="77777777" w:rsidR="005600EC" w:rsidRDefault="005600EC" w:rsidP="005600EC">
      <w:pPr>
        <w:pStyle w:val="7"/>
      </w:pPr>
      <w:r>
        <w:t>Архивные записи подтверждают присутствие рода Урсын Немцевичей герба Равич в Великом Княжестве Литовском уже в конце XV – нач. XVI в. на Виленских, Новогрудских и Брестских землях</w:t>
      </w:r>
      <w:r w:rsidRPr="0097408C">
        <w:t xml:space="preserve"> [7, с. 5]</w:t>
      </w:r>
      <w:r>
        <w:t>.</w:t>
      </w:r>
    </w:p>
    <w:p w14:paraId="3B5D4AA3" w14:textId="77777777" w:rsidR="005600EC" w:rsidRDefault="005600EC" w:rsidP="005600EC">
      <w:pPr>
        <w:pStyle w:val="7"/>
      </w:pPr>
      <w:r>
        <w:lastRenderedPageBreak/>
        <w:t>Урсын Немцевичи пользовались частновладельческим гербом «Равич». Кирпичная усадьба в Скоках была построена Марцелием Урсын Немцевичем в 1770-е годы по проекту неизвестного архитектора в центре деревни недалеко от бывшей деревянной усадьбы. Это был большой двухэтажный усадебный дом, имевший характерную для архитектуры барокко объемно-пространственную композицию, строго подчиненную зеркальной симметрии: прямоугольное в плане здание под мансардой, накрытое типичной для барокко французской «ломаной» черепичной крышей с небольшими боковыми алькежами (башенками) и фигурными куполами.</w:t>
      </w:r>
    </w:p>
    <w:p w14:paraId="05052144" w14:textId="77777777" w:rsidR="005600EC" w:rsidRDefault="005600EC" w:rsidP="005600EC">
      <w:pPr>
        <w:pStyle w:val="7"/>
      </w:pPr>
      <w:r>
        <w:t>Однако внешнее оформление усадьбы, по тогдашним меркам, было довольно скромным. Только центральную часть Северного парадного и Южного паркового фасадов выделили парами сдвоенных пилястр, которые частично нарушали плоскость побеленных стен. (Пилястра-плоский, вертикальный, прямоугольный выступ на стене, повторяющий все части и пропорции колонны архитектурного ордера.) Кроме того, расположенные с двух сторон усадебного дома входы в здание были также акцентированы широкими балконами с красивой ажурной оградой и массивными четырехгранными колоннами в основании.</w:t>
      </w:r>
    </w:p>
    <w:p w14:paraId="30D9DD35" w14:textId="77777777" w:rsidR="005600EC" w:rsidRDefault="005600EC" w:rsidP="005600EC">
      <w:pPr>
        <w:pStyle w:val="7"/>
      </w:pPr>
      <w:r>
        <w:t>Фронтальные фасады имели регулярный ритм прямоугольных окон, в центре были выделены слоистыми пилястрами, тонкопрофильными карнизами. Сдержанный барочный декор включал пластичные сандрики и наличники окон, межэтажные и фризовые тяги, угловые лопатки, лучковые люкарные крыши. Считаем необходимым пояснить, что Сандрик-небольшой карниз, расположенный над окнами или дверями на фасаде здания. Фризовая тяга – горизонтальный или вертикальный поясок – выступ, делящий стены здания. Лопатка-вертикальный, прямоугольный в плане выступ на стене здания, элемент декора. Люкарн-небольшой оконный проем на крыше, фронтоне, предназначенный для частичного освещения подкупольного пространства.</w:t>
      </w:r>
    </w:p>
    <w:p w14:paraId="31081A3D" w14:textId="77777777" w:rsidR="005600EC" w:rsidRDefault="005600EC" w:rsidP="005600EC">
      <w:pPr>
        <w:pStyle w:val="7"/>
      </w:pPr>
      <w:r>
        <w:t xml:space="preserve">Большие прямоугольные оконные проемы стали основным проявлением набирающего в те времена силу классицизма в Скоковской усадьбе. </w:t>
      </w:r>
    </w:p>
    <w:p w14:paraId="1EE363CA" w14:textId="77777777" w:rsidR="005600EC" w:rsidRDefault="005600EC" w:rsidP="005600EC">
      <w:pPr>
        <w:pStyle w:val="7"/>
      </w:pPr>
      <w:r>
        <w:t>Внутренняя планировка имела традиционную схему. Центральным помещением первого этажа был просторный вестибюль, от которого в стороны исходили анфилады кабинетов и жилых комнат, здесь же находилась столовая, стены которой украшали портреты представителей рода Немцевичей.</w:t>
      </w:r>
    </w:p>
    <w:p w14:paraId="1477F6C1" w14:textId="77777777" w:rsidR="005600EC" w:rsidRDefault="005600EC" w:rsidP="005600EC">
      <w:pPr>
        <w:pStyle w:val="7"/>
      </w:pPr>
      <w:r>
        <w:t xml:space="preserve">На второй этаж вела широкая трехмаршевая лестница. Относительно небольшие размеры здания заставили архитектора разместить в центре второго этажа главный бальный зал с антресолями для музыкантов. Это </w:t>
      </w:r>
      <w:r>
        <w:lastRenderedPageBreak/>
        <w:t>прекрасно оформленное помещение имело выход на оба балкона, откуда открывался живописный вид на парк и окрестности. Из главного зала также можно было попасть в другие парадные комнаты резиденции, которые занимали большую часть этого этажа. На стенах висели картины голландских и итальянских художников, а также акварели Яна Матейки.</w:t>
      </w:r>
    </w:p>
    <w:p w14:paraId="594210B2" w14:textId="77777777" w:rsidR="005600EC" w:rsidRDefault="005600EC" w:rsidP="005600EC">
      <w:pPr>
        <w:pStyle w:val="7"/>
      </w:pPr>
      <w:r>
        <w:t>Стены усадьбы в партере имеют почти метровую толщину. Под всем дворцом находится огромный подвал, свод которого был выполнен в форме звезды и упирался на массивный каменный столб. Все это придавало ему вид рыцарского зала. Здесь был и «скарбец»– традиционное помещение в доме шляхтича того времени, в котором хранился семейный архив, а также семейные реликвии.</w:t>
      </w:r>
    </w:p>
    <w:p w14:paraId="56875A8C" w14:textId="77777777" w:rsidR="005600EC" w:rsidRDefault="005600EC" w:rsidP="005600EC">
      <w:pPr>
        <w:pStyle w:val="7"/>
      </w:pPr>
      <w:r>
        <w:t>Что же касается интерьеров усадьбы Немцевичей, то в соответствии с модой XVIII века здесь были камины с оригинальными изразцами, настенная живопись, лепнина, а также мозаичные паркетные полы. Для иллюзорного увеличения пространства парадных помещений в стены были встроены большие зеркала в роскошных рамах. Важным элементом обстановки была и мебель с изысканным резным орнаментом. Богатство позолоты было также непременным атрибутом тогдашних шляхетских усадеб.</w:t>
      </w:r>
    </w:p>
    <w:p w14:paraId="21A99D8E" w14:textId="77777777" w:rsidR="005600EC" w:rsidRDefault="005600EC" w:rsidP="005600EC">
      <w:pPr>
        <w:pStyle w:val="7"/>
      </w:pPr>
      <w:r>
        <w:t>По бокам от усадьбы Немцевичей располагались два небольших одноэтажных флигеля, в одном из которых жила прислуга, а во втором расположилась конюшня. Они вместе с главным корпусом создавали некое подобие так полюбившегося тогдашней местной аристократией «курдонера» – полуоткрытого парадного двора с красивым круглым зеленым партером по середине. За флигелями находились густые посадки деревьев. Кроме эстетической функции они выполняли и практическую задачу-прятали от глаз хозяев и их гостей небольшой хозяйственный двор с колодцем, который находился к востоку от курдонера.</w:t>
      </w:r>
    </w:p>
    <w:p w14:paraId="030E0B42" w14:textId="77777777" w:rsidR="005600EC" w:rsidRDefault="005600EC" w:rsidP="005600EC">
      <w:pPr>
        <w:pStyle w:val="7"/>
      </w:pPr>
      <w:r>
        <w:t xml:space="preserve">Внук Марцелия – Тадеуш под влиянием тогдашних стилей в строительстве решил изменить внешний вид дворца и особенно внутренний интерьер, а также расширить тесные комнаты. Это больше затронуло партер усадьбы, но Тадеуш не остановился на том и сравнял с крышей боковые башни-алькежи. </w:t>
      </w:r>
    </w:p>
    <w:p w14:paraId="4CD29F12" w14:textId="77777777" w:rsidR="005600EC" w:rsidRDefault="005600EC" w:rsidP="005600EC">
      <w:pPr>
        <w:pStyle w:val="7"/>
      </w:pPr>
      <w:r>
        <w:t xml:space="preserve">Поколения Немцевичей от Марцелия (1727?–1802), Яна (1762–1821), Тадеуша (1793–1839) и Яна (1830–1900), которые прожили в усадьбе всю свою жизнь от рождения до смерти, только улучшали ее благосостояние. </w:t>
      </w:r>
    </w:p>
    <w:p w14:paraId="472D42F1" w14:textId="77777777" w:rsidR="005600EC" w:rsidRDefault="005600EC" w:rsidP="005600EC">
      <w:pPr>
        <w:pStyle w:val="7"/>
      </w:pPr>
      <w:r>
        <w:t>Через дорогу от парадного подъезда начиналась достаточно короткая липовая аллея, которая вела к небольшому каменному костелу (не сохранившемуся), построенному в 1776 году в стиле, народного зодчества с элементами барокко. В костеле Марцелий Немцевич сделал родовую усыпальницу.</w:t>
      </w:r>
    </w:p>
    <w:p w14:paraId="2E6DFA62" w14:textId="77777777" w:rsidR="005600EC" w:rsidRDefault="005600EC" w:rsidP="005600EC">
      <w:pPr>
        <w:pStyle w:val="7"/>
      </w:pPr>
      <w:r>
        <w:lastRenderedPageBreak/>
        <w:t xml:space="preserve">Парк, в так называемом «французском» стиле начал формироваться в усадьбе еще в середине XVIII века и имел регулярно-пейзажную композицию. Его довольно скромные размеры в пять гектаров вызваны расположением парка в строгих границах между усадьбой и берегом реки Лесная. Террасы и цветник с двух сторон огибали дорожки, которые полого спускались от усадьбы и образовывали главную парковую аллею, вдоль которой росли грабы. Основной же прогулочный маршрут был кольцевого типа и огибал парк по периметру. Имелась здесь и искусственная водная система - от реки вдоль главной оси парка был вырыт канал, к которому под прямым углом примыкал еще один, делящий парк на две примерно равные части. Основное пространство парка делилось на уютные полянки, окруженные со всех сторон посадками клена, граба, боярышника, сирени. В центре паркового ансамбля имелись насаждения плодовых деревьев, среди которых так же росли самшит, шалфей, ирисы </w:t>
      </w:r>
      <w:bookmarkStart w:id="42" w:name="_Hlk167100811"/>
      <w:r>
        <w:t>[6, с. 328]</w:t>
      </w:r>
      <w:bookmarkEnd w:id="42"/>
      <w:r>
        <w:t>. Среди малых архитектурных форм, украшавших парк в те давние времена, можно выделить три резные деревянные беседки, легкие арочные мостики через каналы, а также лодочную пристань и летние купальни.</w:t>
      </w:r>
    </w:p>
    <w:p w14:paraId="4C2B4B7B" w14:textId="77777777" w:rsidR="005600EC" w:rsidRDefault="005600EC" w:rsidP="005600EC">
      <w:pPr>
        <w:pStyle w:val="7"/>
      </w:pPr>
      <w:r>
        <w:t>В стороне от прогулочных аллей, за каналом, был расположен огромный плодовый сад, который размерами не уступал самому парку. С другой же стороны, вплотную к парку, примыкал ипподром, обсаженный березами и можжевельником. При ипподроме находился до начала XX века конный завод, имевший широкую известность в округе.</w:t>
      </w:r>
    </w:p>
    <w:p w14:paraId="33FB8B45" w14:textId="77777777" w:rsidR="005600EC" w:rsidRDefault="005600EC" w:rsidP="005600EC">
      <w:pPr>
        <w:pStyle w:val="7"/>
      </w:pPr>
      <w:r>
        <w:t>Более чем столетняя размеренная жизнь усадьбы была разрушена Первой мировой войной, а именно тотальной эвакуацией населения западных белорусских земель.</w:t>
      </w:r>
    </w:p>
    <w:p w14:paraId="541AAAE2" w14:textId="77777777" w:rsidR="005600EC" w:rsidRDefault="005600EC" w:rsidP="005600EC">
      <w:pPr>
        <w:pStyle w:val="7"/>
      </w:pPr>
      <w:r>
        <w:t>Усадьбу в Скоках, как и все лучшие сооружения вокруг, должны были взорвать по высшему приказу, как это сделали со многими капитальными постройками в Бресте. Но здесь проявила свой энергичный и самоотверженный характер жена Яна-младшего Немцевича Софья. Она в 1915 году спасла усадьбу и остатки семейных раритетов от полного уничтожения [8, с. 24].</w:t>
      </w:r>
    </w:p>
    <w:p w14:paraId="1E1A919F" w14:textId="632793AF" w:rsidR="005600EC" w:rsidRDefault="005600EC" w:rsidP="005600EC">
      <w:pPr>
        <w:pStyle w:val="7"/>
      </w:pPr>
      <w:r>
        <w:t>Известно, что во время Первой мировой войны Скоковская усадьба ненадолго была оставлена, вскоре стала главным штабом командующего Восточным германским фронтом, генерал-фельдмаршалом, принцем Леопольдом Баварским. Это определило геополитическую роль, которую усадьба исполняла с 3 декабря 1917 года по 3 марта 1918 года.</w:t>
      </w:r>
    </w:p>
    <w:p w14:paraId="7C513B5A" w14:textId="77777777" w:rsidR="005600EC" w:rsidRDefault="005600EC" w:rsidP="005600EC">
      <w:pPr>
        <w:pStyle w:val="7"/>
      </w:pPr>
      <w:r>
        <w:t xml:space="preserve">Именно здесь, 15 декабря 1917 года в одиннадцать часов вечера между Германией и ее союзниками, с одной стороны, и уже Советской Россией, с другой, в салоне первого этажа было подписано перемирие, которое фактически официально прекращало боевые действия Первой мировой войны на востоке. </w:t>
      </w:r>
    </w:p>
    <w:p w14:paraId="535EED8C" w14:textId="77777777" w:rsidR="005600EC" w:rsidRDefault="005600EC" w:rsidP="005600EC">
      <w:pPr>
        <w:pStyle w:val="7"/>
      </w:pPr>
      <w:r>
        <w:lastRenderedPageBreak/>
        <w:t>Когда вернулся хозяин усадьбы Ян Урсын Немцевич осенью 1918 года в Скоки, кроме стен ничего не осталось. Он начинает новое возрождение усадьбы.</w:t>
      </w:r>
    </w:p>
    <w:p w14:paraId="7BCBE574" w14:textId="77777777" w:rsidR="005600EC" w:rsidRDefault="005600EC" w:rsidP="005600EC">
      <w:pPr>
        <w:pStyle w:val="7"/>
      </w:pPr>
      <w:r>
        <w:t xml:space="preserve">Усадьба была конфискована советской властью в 1939 году. В годы Великой Отечественной войны усадьба снова уцелела. В 1944 году здесь открылась уже новая советская школа, которая и спасла усадьбу от разрушения. Школа в усадьбе была одновременно и жильем для молодых семейных учителей. Во время каникул усадьба становилась летним лагерем для брестских пионеров. </w:t>
      </w:r>
    </w:p>
    <w:p w14:paraId="582E8BED" w14:textId="77777777" w:rsidR="005600EC" w:rsidRDefault="005600EC" w:rsidP="005600EC">
      <w:pPr>
        <w:pStyle w:val="7"/>
      </w:pPr>
      <w:r>
        <w:t>В целом же Скоковская усадьба, как видно из вышеизложенного была обычной резиденцией белорусского шляхетского рода среднего достатка второй половины XVIII века. Однако по своему мемориальному значению она опережает многие из аналогичных отечественных дворцово-усадебных парков.</w:t>
      </w:r>
    </w:p>
    <w:p w14:paraId="0CBAD573" w14:textId="77777777" w:rsidR="005600EC" w:rsidRDefault="005600EC" w:rsidP="005600EC">
      <w:pPr>
        <w:spacing w:after="0" w:line="240" w:lineRule="auto"/>
        <w:ind w:firstLine="709"/>
        <w:jc w:val="both"/>
        <w:rPr>
          <w:rFonts w:ascii="Times New Roman" w:eastAsia="Calibri" w:hAnsi="Times New Roman" w:cs="Times New Roman"/>
          <w:sz w:val="28"/>
          <w:szCs w:val="28"/>
        </w:rPr>
      </w:pPr>
    </w:p>
    <w:p w14:paraId="2E7E4EF8" w14:textId="77777777" w:rsidR="00F46052" w:rsidRDefault="00F46052" w:rsidP="005600EC">
      <w:pPr>
        <w:spacing w:after="0" w:line="240" w:lineRule="auto"/>
        <w:ind w:firstLine="709"/>
        <w:jc w:val="both"/>
        <w:rPr>
          <w:rFonts w:ascii="Times New Roman" w:eastAsia="Calibri" w:hAnsi="Times New Roman" w:cs="Times New Roman"/>
          <w:sz w:val="28"/>
          <w:szCs w:val="28"/>
        </w:rPr>
      </w:pPr>
    </w:p>
    <w:p w14:paraId="769B41CA" w14:textId="4919FEEE" w:rsidR="005600EC" w:rsidRDefault="005600EC" w:rsidP="006F6A4F">
      <w:pPr>
        <w:pStyle w:val="8"/>
        <w:numPr>
          <w:ilvl w:val="0"/>
          <w:numId w:val="22"/>
        </w:numPr>
        <w:ind w:left="0" w:firstLine="709"/>
      </w:pPr>
      <w:r>
        <w:t>Барока ў беларускай культуры і мастацтве/ пад рэд. В.Ф. Шматава. Інстытут мастацтвазнаўства, этнаграфіі і фальклору НАН Беларусі. – Мн.: Беларуская навука, 1998. – 304 с.</w:t>
      </w:r>
    </w:p>
    <w:p w14:paraId="3D37D83F" w14:textId="3C27C0DD" w:rsidR="005600EC" w:rsidRDefault="005600EC" w:rsidP="00F46052">
      <w:pPr>
        <w:pStyle w:val="8"/>
      </w:pPr>
      <w:r>
        <w:t xml:space="preserve">Гладышчук, А. А. Нямцэвічы. Сапраўдныя гісторыі: гісторыка – дакументальны нарыс / А. А. Гладышчук. – Мінск: Литература и Искусство, </w:t>
      </w:r>
      <w:r w:rsidR="00F32EA2">
        <w:rPr>
          <w:lang w:val="ru-RU"/>
        </w:rPr>
        <w:br/>
      </w:r>
      <w:r>
        <w:t>2009. – 288 с.</w:t>
      </w:r>
    </w:p>
    <w:p w14:paraId="226FB817" w14:textId="5C1EC576" w:rsidR="005600EC" w:rsidRDefault="005600EC" w:rsidP="00F46052">
      <w:pPr>
        <w:pStyle w:val="8"/>
      </w:pPr>
      <w:r>
        <w:t xml:space="preserve">Несцярчук, Л. М. Замкі, палацы, паркі Берасцейшчыны Х – ХХ стагоддзяў (гісторыя, стан, перспектывы) / Л. М. Несцярчук. – Мінск: БЕЛТА, </w:t>
      </w:r>
      <w:r w:rsidR="00F32EA2" w:rsidRPr="0097408C">
        <w:br/>
      </w:r>
      <w:r>
        <w:t>2002. – 336 с.</w:t>
      </w:r>
    </w:p>
    <w:p w14:paraId="32F5FD9C" w14:textId="5BAF4F51" w:rsidR="005600EC" w:rsidRDefault="005600EC" w:rsidP="00F46052">
      <w:pPr>
        <w:pStyle w:val="8"/>
      </w:pPr>
      <w:r>
        <w:t>Нямцэвічы // Энцыклапедыя г</w:t>
      </w:r>
      <w:bookmarkStart w:id="43" w:name="_Hlk167099539"/>
      <w:r>
        <w:t>і</w:t>
      </w:r>
      <w:bookmarkEnd w:id="43"/>
      <w:r>
        <w:t xml:space="preserve">сторыя Беларуси: у 6 т. / Рэдкал.: Г. П. Пашкоў  і інш. – Мінск: БелЭН. 1999. </w:t>
      </w:r>
      <w:bookmarkStart w:id="44" w:name="_Hlk167099630"/>
      <w:r>
        <w:t xml:space="preserve">– </w:t>
      </w:r>
      <w:bookmarkEnd w:id="44"/>
      <w:r>
        <w:t>Т. 5. – 592 с.</w:t>
      </w:r>
    </w:p>
    <w:p w14:paraId="220F0671" w14:textId="2DBAAD4E" w:rsidR="005600EC" w:rsidRDefault="005600EC" w:rsidP="00F46052">
      <w:pPr>
        <w:pStyle w:val="8"/>
      </w:pPr>
      <w:r>
        <w:t>Юльян Урсын Нямцэвіч: асоба ў кантэксце часу. Да 250 – годдзя з дня нараджэння: Міжнар. Нав. – практычн. Канферэнцыя, 30 – 31 мая 2008 г. – Брэст: ААТ “Брэсцкая друкарня”, 2008. – 232 с.</w:t>
      </w:r>
    </w:p>
    <w:p w14:paraId="3576DC71" w14:textId="01CDF944" w:rsidR="005600EC" w:rsidRDefault="005600EC" w:rsidP="00F46052">
      <w:pPr>
        <w:pStyle w:val="8"/>
      </w:pPr>
      <w:r>
        <w:t>Федорук, А. Старинные усадьбы Берестейщины / А. Федорук. – Минск : БелЭН, 2004. – 573 с.</w:t>
      </w:r>
    </w:p>
    <w:p w14:paraId="2BF3A827" w14:textId="6E89C225" w:rsidR="005600EC" w:rsidRPr="0097408C" w:rsidRDefault="005600EC" w:rsidP="00F46052">
      <w:pPr>
        <w:pStyle w:val="8"/>
        <w:rPr>
          <w:lang w:eastAsia="ru-RU"/>
        </w:rPr>
      </w:pPr>
      <w:r>
        <w:t xml:space="preserve">Ursyn Niemcewicz, J. Pamiętniki czasów moich: dzieło pośmiertne / J. Ursyn </w:t>
      </w:r>
      <w:r>
        <w:rPr>
          <w:lang w:val="en-US"/>
        </w:rPr>
        <w:t>Niemcewicz</w:t>
      </w:r>
      <w:r>
        <w:t xml:space="preserve">. – </w:t>
      </w:r>
      <w:r>
        <w:rPr>
          <w:lang w:val="en-US"/>
        </w:rPr>
        <w:t>Warszawa</w:t>
      </w:r>
      <w:r>
        <w:t xml:space="preserve"> : </w:t>
      </w:r>
      <w:r>
        <w:rPr>
          <w:lang w:val="en-US"/>
        </w:rPr>
        <w:t>F</w:t>
      </w:r>
      <w:r>
        <w:t xml:space="preserve">. </w:t>
      </w:r>
      <w:r>
        <w:rPr>
          <w:lang w:val="en-US"/>
        </w:rPr>
        <w:t>A</w:t>
      </w:r>
      <w:r>
        <w:t xml:space="preserve">. </w:t>
      </w:r>
      <w:r>
        <w:rPr>
          <w:lang w:val="en-US"/>
        </w:rPr>
        <w:t>Brockhaus</w:t>
      </w:r>
      <w:r>
        <w:t xml:space="preserve">, 1868. – 438 </w:t>
      </w:r>
      <w:r>
        <w:rPr>
          <w:lang w:val="en-US"/>
        </w:rPr>
        <w:t>s</w:t>
      </w:r>
      <w:r>
        <w:t>.</w:t>
      </w:r>
      <w:r>
        <w:rPr>
          <w:lang w:eastAsia="ru-RU"/>
        </w:rPr>
        <w:t xml:space="preserve"> </w:t>
      </w:r>
    </w:p>
    <w:p w14:paraId="74139679" w14:textId="6F61996A" w:rsidR="005600EC" w:rsidRPr="0097408C" w:rsidRDefault="005600EC" w:rsidP="00F46052">
      <w:pPr>
        <w:pStyle w:val="8"/>
        <w:rPr>
          <w:lang w:eastAsia="ru-RU"/>
        </w:rPr>
      </w:pPr>
      <w:r>
        <w:rPr>
          <w:lang w:val="en-US"/>
        </w:rPr>
        <w:t>Ursyn</w:t>
      </w:r>
      <w:r>
        <w:t xml:space="preserve"> </w:t>
      </w:r>
      <w:r>
        <w:rPr>
          <w:lang w:val="en-US"/>
        </w:rPr>
        <w:t>Niemcewicz</w:t>
      </w:r>
      <w:r>
        <w:t xml:space="preserve">, </w:t>
      </w:r>
      <w:r>
        <w:rPr>
          <w:lang w:val="en-US"/>
        </w:rPr>
        <w:t>S</w:t>
      </w:r>
      <w:r>
        <w:t xml:space="preserve">. </w:t>
      </w:r>
      <w:r>
        <w:rPr>
          <w:lang w:val="en-US"/>
        </w:rPr>
        <w:t>Moim</w:t>
      </w:r>
      <w:r>
        <w:t xml:space="preserve"> </w:t>
      </w:r>
      <w:r>
        <w:rPr>
          <w:lang w:val="en-US"/>
        </w:rPr>
        <w:t>wnukom</w:t>
      </w:r>
      <w:r>
        <w:t xml:space="preserve"> / </w:t>
      </w:r>
      <w:r>
        <w:rPr>
          <w:lang w:val="en-US"/>
        </w:rPr>
        <w:t>S</w:t>
      </w:r>
      <w:r>
        <w:t xml:space="preserve">. </w:t>
      </w:r>
      <w:r>
        <w:rPr>
          <w:lang w:val="en-US"/>
        </w:rPr>
        <w:t>Ursyn</w:t>
      </w:r>
      <w:r>
        <w:t xml:space="preserve"> </w:t>
      </w:r>
      <w:r>
        <w:rPr>
          <w:lang w:val="en-US"/>
        </w:rPr>
        <w:t>Niemcewicz</w:t>
      </w:r>
      <w:r>
        <w:t xml:space="preserve">. – </w:t>
      </w:r>
      <w:r>
        <w:rPr>
          <w:lang w:val="en-US"/>
        </w:rPr>
        <w:t>Warszawa</w:t>
      </w:r>
      <w:r>
        <w:t xml:space="preserve">, 1972. – 53 </w:t>
      </w:r>
      <w:r>
        <w:rPr>
          <w:lang w:val="en-US"/>
        </w:rPr>
        <w:t>s</w:t>
      </w:r>
      <w:r>
        <w:t>.</w:t>
      </w:r>
      <w:r>
        <w:rPr>
          <w:lang w:eastAsia="ru-RU"/>
        </w:rPr>
        <w:t xml:space="preserve"> </w:t>
      </w:r>
    </w:p>
    <w:p w14:paraId="34C91D33" w14:textId="77777777" w:rsidR="003C091F" w:rsidRPr="00F7633C" w:rsidRDefault="003C091F" w:rsidP="00C84747">
      <w:pPr>
        <w:pStyle w:val="7"/>
        <w:rPr>
          <w:bCs/>
          <w:lang w:val="be-BY"/>
        </w:rPr>
      </w:pPr>
    </w:p>
    <w:p w14:paraId="19889B02" w14:textId="431341C8" w:rsidR="00EA6199" w:rsidRDefault="000C69B3" w:rsidP="00EA6199">
      <w:pPr>
        <w:pStyle w:val="Standard"/>
        <w:jc w:val="center"/>
        <w:rPr>
          <w:rStyle w:val="a9"/>
          <w:rFonts w:ascii="Times New Roman" w:hAnsi="Times New Roman" w:cs="Times New Roman"/>
          <w:i/>
          <w:color w:val="auto"/>
          <w:sz w:val="28"/>
          <w:szCs w:val="28"/>
          <w:u w:val="none"/>
          <w:lang w:val="be-BY"/>
        </w:rPr>
      </w:pPr>
      <w:hyperlink w:anchor="_СОДЕРЖАНИЕ" w:history="1">
        <w:r w:rsidR="00EA6199" w:rsidRPr="009D63FE">
          <w:rPr>
            <w:rStyle w:val="a9"/>
            <w:rFonts w:ascii="Times New Roman" w:hAnsi="Times New Roman" w:cs="Times New Roman"/>
            <w:i/>
            <w:color w:val="auto"/>
            <w:sz w:val="28"/>
            <w:szCs w:val="28"/>
            <w:u w:val="none"/>
            <w:lang w:val="be-BY"/>
          </w:rPr>
          <w:t>К содержанию</w:t>
        </w:r>
      </w:hyperlink>
    </w:p>
    <w:p w14:paraId="62C4FC50" w14:textId="77777777" w:rsidR="00216744" w:rsidRDefault="00216744" w:rsidP="00216744">
      <w:pPr>
        <w:pStyle w:val="12"/>
        <w:rPr>
          <w:lang w:val="ru-RU"/>
        </w:rPr>
      </w:pPr>
    </w:p>
    <w:p w14:paraId="0DE993D1" w14:textId="77777777" w:rsidR="00C84747" w:rsidRDefault="00C84747" w:rsidP="00216744">
      <w:pPr>
        <w:pStyle w:val="12"/>
        <w:rPr>
          <w:lang w:val="ru-RU"/>
        </w:rPr>
      </w:pPr>
    </w:p>
    <w:p w14:paraId="54D87338" w14:textId="77777777" w:rsidR="00C84747" w:rsidRDefault="00C84747" w:rsidP="00216744">
      <w:pPr>
        <w:pStyle w:val="12"/>
        <w:rPr>
          <w:lang w:val="ru-RU"/>
        </w:rPr>
      </w:pPr>
    </w:p>
    <w:p w14:paraId="40AA75F8" w14:textId="77777777" w:rsidR="002E4BD4" w:rsidRDefault="002E4BD4" w:rsidP="00216744">
      <w:pPr>
        <w:pStyle w:val="12"/>
        <w:rPr>
          <w:lang w:val="ru-RU"/>
        </w:rPr>
      </w:pPr>
    </w:p>
    <w:p w14:paraId="667C8E12" w14:textId="77777777" w:rsidR="002E4BD4" w:rsidRDefault="002E4BD4" w:rsidP="00216744">
      <w:pPr>
        <w:pStyle w:val="12"/>
        <w:rPr>
          <w:lang w:val="ru-RU"/>
        </w:rPr>
      </w:pPr>
    </w:p>
    <w:p w14:paraId="536346B8" w14:textId="77777777" w:rsidR="002E4BD4" w:rsidRDefault="002E4BD4" w:rsidP="00216744">
      <w:pPr>
        <w:pStyle w:val="12"/>
        <w:rPr>
          <w:lang w:val="ru-RU"/>
        </w:rPr>
      </w:pPr>
    </w:p>
    <w:p w14:paraId="6AD6137A" w14:textId="7848FD6E" w:rsidR="00216744" w:rsidRDefault="00216744" w:rsidP="00216744">
      <w:pPr>
        <w:pStyle w:val="12"/>
      </w:pPr>
      <w:r>
        <w:lastRenderedPageBreak/>
        <w:t>УДК: 93/94</w:t>
      </w:r>
      <w:r w:rsidR="00E445B3" w:rsidRPr="00A81B93">
        <w:t>(476)</w:t>
      </w:r>
    </w:p>
    <w:p w14:paraId="31B61F44" w14:textId="77777777" w:rsidR="00216744" w:rsidRDefault="00216744" w:rsidP="00216744">
      <w:pPr>
        <w:pStyle w:val="14"/>
      </w:pPr>
      <w:bookmarkStart w:id="45" w:name="_Toc181884605"/>
      <w:bookmarkStart w:id="46" w:name="_Toc181894097"/>
      <w:r>
        <w:t>Д. С. Панасюк</w:t>
      </w:r>
      <w:bookmarkEnd w:id="45"/>
      <w:bookmarkEnd w:id="46"/>
    </w:p>
    <w:p w14:paraId="32DA3591" w14:textId="77777777" w:rsidR="00216744" w:rsidRDefault="00216744" w:rsidP="00216744">
      <w:pPr>
        <w:pStyle w:val="3"/>
      </w:pPr>
      <w:r>
        <w:t>Брест, БрГТУ</w:t>
      </w:r>
    </w:p>
    <w:p w14:paraId="7845C88D" w14:textId="0F9D297E" w:rsidR="00216744" w:rsidRDefault="00216744" w:rsidP="00216744">
      <w:pPr>
        <w:pStyle w:val="4"/>
      </w:pPr>
      <w:r>
        <w:t xml:space="preserve">Научный руководитель – С. В. Грибова, к. и. н., доцент </w:t>
      </w:r>
    </w:p>
    <w:p w14:paraId="282BB100" w14:textId="77777777" w:rsidR="00216744" w:rsidRDefault="00216744" w:rsidP="00216744">
      <w:pPr>
        <w:pStyle w:val="7"/>
        <w:rPr>
          <w:lang w:val="be-BY"/>
        </w:rPr>
      </w:pPr>
    </w:p>
    <w:p w14:paraId="2F321682" w14:textId="77777777" w:rsidR="00216744" w:rsidRDefault="00216744" w:rsidP="00216744">
      <w:pPr>
        <w:pStyle w:val="5"/>
      </w:pPr>
      <w:r>
        <w:t xml:space="preserve">ЧЕРНАВЧИЦЫ </w:t>
      </w:r>
      <w:r>
        <w:rPr>
          <w:sz w:val="24"/>
          <w:szCs w:val="24"/>
        </w:rPr>
        <w:t xml:space="preserve">– </w:t>
      </w:r>
      <w:r>
        <w:t>ЗАБЫТАЯ РЕЗИДЕНЦИЯ РАДЗИВИЛЛОВ</w:t>
      </w:r>
    </w:p>
    <w:p w14:paraId="2F9633F9" w14:textId="77777777" w:rsidR="00216744" w:rsidRDefault="00216744" w:rsidP="00216744">
      <w:pPr>
        <w:pStyle w:val="7"/>
      </w:pPr>
    </w:p>
    <w:p w14:paraId="38B8A999" w14:textId="77777777" w:rsidR="00216744" w:rsidRDefault="00216744" w:rsidP="00216744">
      <w:pPr>
        <w:pStyle w:val="6"/>
      </w:pPr>
      <w:r>
        <w:t xml:space="preserve">Данная статья посвящена Чернавчицам как резиденции представителей рода Радзивиллов. Автор приводит сведения генеологического характера о владельцах Чернавчиц, на основании чего впервые в историографии автором </w:t>
      </w:r>
      <w:r>
        <w:rPr>
          <w:color w:val="000000" w:themeColor="text1"/>
        </w:rPr>
        <w:t xml:space="preserve">составлен поименнный список их владельцев. </w:t>
      </w:r>
      <w:r>
        <w:t xml:space="preserve">Автор предоставляет информацию о сохранившемся костеле 16 в., а также описывает некогда существовавший в Чернавчицах замок и его парк, делает предположение о месте их размещения. Отмечает, что продолжением данного исследования </w:t>
      </w:r>
      <w:r>
        <w:rPr>
          <w:rFonts w:eastAsia="Calibri"/>
        </w:rPr>
        <w:t xml:space="preserve">может стать создание экскурсионного маршрута «Шляхетские резиденции, костелы и церкви Брестского района времён Речи Посполитой», отражающего особенности исторического прошлого этого региона.  </w:t>
      </w:r>
    </w:p>
    <w:p w14:paraId="1F4F1EC9" w14:textId="77777777" w:rsidR="00216744" w:rsidRDefault="00216744" w:rsidP="00216744">
      <w:pPr>
        <w:pStyle w:val="7"/>
      </w:pPr>
    </w:p>
    <w:p w14:paraId="395CD472" w14:textId="2D487B5C" w:rsidR="00216744" w:rsidRDefault="00216744" w:rsidP="00216744">
      <w:pPr>
        <w:pStyle w:val="7"/>
      </w:pPr>
      <w:r>
        <w:t>Одними из самых знаменитых, богатых и влиятельных магнатских родов в истории Беларуси являлись Ильиничи и Радзивиллы. В последние десятилетия сложился стереотип, что Ильиничи ассоциируются только с Мирским замком, а Радзивиллы – со своей главной резиденцией в Несвиже. Однако у них были и другие резиденции в ВКЛ. Можно предположить, что малоизвестным фактом для жителей Бреста и Брестского района является то, что у Ильиничей и Радзивиллов была резиденция в Чернавчицах.</w:t>
      </w:r>
    </w:p>
    <w:p w14:paraId="394EE192" w14:textId="77777777" w:rsidR="00216744" w:rsidRDefault="00216744" w:rsidP="00216744">
      <w:pPr>
        <w:pStyle w:val="7"/>
        <w:rPr>
          <w:b/>
        </w:rPr>
      </w:pPr>
      <w:r>
        <w:rPr>
          <w:b/>
        </w:rPr>
        <w:t>Замок в Чернавчицах</w:t>
      </w:r>
    </w:p>
    <w:p w14:paraId="223074CF" w14:textId="77777777" w:rsidR="00216744" w:rsidRDefault="00216744" w:rsidP="00216744">
      <w:pPr>
        <w:pStyle w:val="7"/>
        <w:rPr>
          <w:b/>
        </w:rPr>
      </w:pPr>
      <w:r>
        <w:t xml:space="preserve">Первыми известными владельцами Чернавчиц были Волкевичи. В 1487 г. Чернавчицы вместе с Турной перешли Ивашке Ильиничу (?-1490 гг.) в порядке обмена на вотчинные земли в Волковысском повете. Юрий Иванович Ильинич (?-1527 гг.), маршалок дворный, наместник лидский, ковенский, берестейский, в начале </w:t>
      </w:r>
      <w:r>
        <w:rPr>
          <w:lang w:val="en-US"/>
        </w:rPr>
        <w:t>XVI</w:t>
      </w:r>
      <w:r>
        <w:t xml:space="preserve"> в. заметно расширил свои владения, скупив ряд соседних имений. Резиденцией Ильиничей в Чернавчицах был замок. Первое известное упоминание о нем, владении Юрия Ильинича, относится к 1520 г. В этом году 24 мая Юрий, маршалок дворный, староста берестейский, «купил у конюшего Богдана Гриньковича» два жребия и присоединили их к замку [2, с.55].  Юрий Ильинич, внук Юрия Ивановича Ильинича не имел наследников, поэтому Чернавчицы вместе с Миром, Белой, Зельвой и другими имениями завещал Радзивиллам – родственникам по материнской линии. </w:t>
      </w:r>
    </w:p>
    <w:p w14:paraId="37FDE9B7" w14:textId="77777777" w:rsidR="00216744" w:rsidRDefault="00216744" w:rsidP="00216744">
      <w:pPr>
        <w:pStyle w:val="7"/>
        <w:rPr>
          <w:b/>
        </w:rPr>
      </w:pPr>
      <w:r>
        <w:t xml:space="preserve">После Юрия с 1568 г. владельцем замка стал Николай Криштоф Радзивилл Сиротка, воевода виленский, получив титул графа на Мире, Чернавчицах и Белой. Радзивиллу Сиротке замок в Чернавчицах понравился и в 1569 г. он из Несвижа в новое владение переносит часть арсенала (мечи, копья, алебарды, доспехи и т.д.) [1, с.133, 138]. </w:t>
      </w:r>
    </w:p>
    <w:p w14:paraId="22FBD405" w14:textId="77777777" w:rsidR="00216744" w:rsidRDefault="00216744" w:rsidP="00216744">
      <w:pPr>
        <w:pStyle w:val="7"/>
        <w:rPr>
          <w:b/>
        </w:rPr>
      </w:pPr>
      <w:r>
        <w:lastRenderedPageBreak/>
        <w:t>Сохранилось единственное описание замка в Чернавичах – инвентарь, составленный Адамом Зубовичем 10 апреля 1749 г. Замок размещался недалеко от Троицкого костела, около дороги на Турну [2, с. 56]. Польский исследователь К. Зданьский в своей работе в 1936 г. также отметил, что вблизи Троицкого костела размещался замок Радзивиллов, а около дороги на Турну были два кургана, называемые «шведскими», в которых при раскопках было найдено много древнего оружия. По нашему мнению, замок Ильиничей и Радзивиллов находился западнее дороги на Турну [6, c. 97]</w:t>
      </w:r>
    </w:p>
    <w:p w14:paraId="320182AF" w14:textId="77777777" w:rsidR="00216744" w:rsidRDefault="00216744" w:rsidP="00216744">
      <w:pPr>
        <w:pStyle w:val="7"/>
        <w:rPr>
          <w:b/>
        </w:rPr>
      </w:pPr>
      <w:r>
        <w:t xml:space="preserve">Замок представлял собой характерное укрепленное сооружение, на детинце которого располагались одноэтажный П-образный дворец и ряд зданий служебного и хозяйственного назначения. К детинцу примыкал парк. Замок занимал окраину местечка Чернавчицы, имел каменную ограду с въездной и парковыми воротами. Въездные ворота завершались башенкой, служащей сторожевой коморкой. Симметрично въездным воротам располагались два хозяйственных здания. Композиционная ось, на которой располагались въездная мощеная дорога и ворота, замыкалась дворцом. Вдоль оси слева при ограде итальянского сада имелось сооружение, в котором размещались клетки с орлами и совами [5, с. 134]. </w:t>
      </w:r>
    </w:p>
    <w:p w14:paraId="7EFF3642" w14:textId="77777777" w:rsidR="00216744" w:rsidRDefault="00216744" w:rsidP="00216744">
      <w:pPr>
        <w:pStyle w:val="7"/>
        <w:rPr>
          <w:b/>
        </w:rPr>
      </w:pPr>
      <w:r>
        <w:t>Судя по краткому описанию, дворец замка стоял на каменном погребе, был сравнительно небольшим, деревянным, с маленькой мансардой, куда вела лесенка, имел крыльцо с балюстрадой и террасу – галерею на тыльном фасаде. Здание, именуемое дворцом, несло характерные черты ренессансных усадебных домов. Отличалось богатством интерьеров. Одна из комнат, расположенная с левой стороны, имела белую кафельную печь, зеркала в позолоченных рамах, двадцать семь больших и малых портретов, шкаф, круглый и продолговатый столы. Во второй комнате висели икона св. Мартина на полотне, портрет одного из Радзивиллов, стояли стулья, часы, шкаф резной работы, стол также резной работы на двенадцать персон и продолговатый стол.</w:t>
      </w:r>
    </w:p>
    <w:p w14:paraId="1FD17525" w14:textId="77777777" w:rsidR="00216744" w:rsidRDefault="00216744" w:rsidP="00216744">
      <w:pPr>
        <w:pStyle w:val="7"/>
        <w:rPr>
          <w:b/>
        </w:rPr>
      </w:pPr>
      <w:r>
        <w:t xml:space="preserve">Наиболее репрезентативным являлся зал дворца, расположенный со стороны парка. Его интерьеры были посвящены роду Радзивиллов. На щитах, прибитых к стенке, размещалось 76 больших и малых портретов и висело выполненное на полотне генеалогическое древо рода. Зал был обставлен стульями из Гданьска, обитыми кожей, имел столы разной формы (круглый сосновый, маленький резной, два маленьких, продолговатый) и два кресла со спинками. К залу примыкали две небольшие комнаты, обитые обоями, светло-голубыми кафельными печами. Стены их украшали портреты на полотне в китайских рамах. В левой комнате стояли круглые китайские столики с цветами. В правой комнате имелись дубовый стол и семь простых столов [5, с. 133]. </w:t>
      </w:r>
    </w:p>
    <w:p w14:paraId="4187C6F6" w14:textId="77777777" w:rsidR="00216744" w:rsidRDefault="00216744" w:rsidP="00216744">
      <w:pPr>
        <w:pStyle w:val="7"/>
        <w:rPr>
          <w:b/>
        </w:rPr>
      </w:pPr>
      <w:r>
        <w:lastRenderedPageBreak/>
        <w:t>Большим являлось помещение, именуемое избой, в нем был кирпичный пол. С избы и примыкающей к ней комнаты имелся выход в галерею, с которой две лестницы, симметрично расположенные по краям, вели в парк. В комнате, обитой шпалерами, находились железная печка на ножках, разная мебель.</w:t>
      </w:r>
    </w:p>
    <w:p w14:paraId="10E89FE4" w14:textId="77777777" w:rsidR="00216744" w:rsidRDefault="00216744" w:rsidP="00216744">
      <w:pPr>
        <w:pStyle w:val="7"/>
        <w:rPr>
          <w:b/>
        </w:rPr>
      </w:pPr>
      <w:r>
        <w:t>На детинце, кроме дворца, располагались кухня (деревянное здание с печатью, камином, избой, пекарней и тремя избенками), прачечная (изба и комора), дом охотников (сени, изба, комора). Хозяйственные здания были представлены конюшенкой, большой конюшней, возовней и маштарней, образующими единый комплекс. Маштарня служила жильем конюхов, включая несколько изб, сени и кабинет. Большим помещением являлась возовная, в которой хранились старинная богатая карета, обитая бархатом кармазиновым, четыре кареты, коляски, возки, сани, санки [5, с. 133].</w:t>
      </w:r>
    </w:p>
    <w:p w14:paraId="474A9D1C" w14:textId="77777777" w:rsidR="00216744" w:rsidRDefault="00216744" w:rsidP="00216744">
      <w:pPr>
        <w:pStyle w:val="7"/>
        <w:rPr>
          <w:b/>
        </w:rPr>
      </w:pPr>
      <w:r>
        <w:t>Посредине детинца располагался скарбец – двухэтажное здание на каменном погребе с галереями. Первый этаж его был построен из бута и валунов, второй – из бруса. К зданию примыкал боковой малый скарбчик, в котором были собраны стеклянная посуда, чаши (старосветская, большая с гербом, итальянская, с гербом князя, маленькая), ложки, ножи, сковороды, топоры и другие предметы хозяйственного назначения. В погребе скарбца в бочках, гарнцах хранились продукты (сливочное масло двухлетней давности, мед, пиво и др.) [5, с. 133].</w:t>
      </w:r>
    </w:p>
    <w:p w14:paraId="147A0641" w14:textId="77777777" w:rsidR="00216744" w:rsidRDefault="00216744" w:rsidP="00216744">
      <w:pPr>
        <w:pStyle w:val="7"/>
        <w:rPr>
          <w:b/>
        </w:rPr>
      </w:pPr>
      <w:r>
        <w:t xml:space="preserve">Особый интерес представляет описание итальянского парка, весьма большого и композиционного сложного, которое является важным источником для познания садово-паркового искусства не только Брестского региона, но и Беларуси. </w:t>
      </w:r>
    </w:p>
    <w:p w14:paraId="284E9F3E" w14:textId="77777777" w:rsidR="00216744" w:rsidRDefault="00216744" w:rsidP="00216744">
      <w:pPr>
        <w:pStyle w:val="7"/>
        <w:rPr>
          <w:b/>
        </w:rPr>
      </w:pPr>
      <w:r>
        <w:t>Парк включал множество кватер. Они являясь его основными структурными элементами, имели форму прямоугольником. Система кватер образовывалось пересечением главной и боковых продольных и поперечных аллей.</w:t>
      </w:r>
    </w:p>
    <w:p w14:paraId="6B3FC6C4" w14:textId="77777777" w:rsidR="00216744" w:rsidRDefault="00216744" w:rsidP="00216744">
      <w:pPr>
        <w:pStyle w:val="7"/>
        <w:rPr>
          <w:b/>
        </w:rPr>
      </w:pPr>
      <w:r>
        <w:t>Парк располагался за дворцом. Его главная часть, замыкая ось ансамбля, имела симметрично-осевое построение. Был окружен каменной оградой. Вход фиксировался воротами. Вдоль оси располагался «проспект», главная парковая магистраль, которая вела к Большому мосту через канал, который пересекал парк. За мостом вход в парк также был оформлен воротами, идентичными первой. С правой стороны располагалось здание аптеки. Вдоль проспекта парка с левой стороны располагались грот и две беседки [5, с.134–135].</w:t>
      </w:r>
    </w:p>
    <w:p w14:paraId="08B944B8" w14:textId="77777777" w:rsidR="00216744" w:rsidRDefault="00216744" w:rsidP="00216744">
      <w:pPr>
        <w:pStyle w:val="7"/>
        <w:rPr>
          <w:b/>
        </w:rPr>
      </w:pPr>
      <w:r>
        <w:t xml:space="preserve">Первая кватера состояла из восьми секторов, в которых росли 207 яблонь и груш, 11 грецких орехов и 79 саженцев плодовых растений. Симметрично с другой стороны проспекта имелась вторая кватера, обсаженная вечнозеленым самшитом. Она имела пять секторов, в которых </w:t>
      </w:r>
      <w:r>
        <w:lastRenderedPageBreak/>
        <w:t>росли 18 груш и яблонь и смородина. Следующей была большая третья кватера, обсаженная самшитом, с фонтаном в центре, вокруг которого на шести валунах стояли статуи. Четвертая кватера располагалась с двух сторон поперечной улицы, была обсажена бирючиной. В ее шести секторах росли привитые молодые яблони и груши. Кватера пятая – красной смородиной, а также выращивались овощные и пряные растения (шпинат, сельдерей и др.). Вдоль канала располагалась кватера шестая, обсаженная бирючиной, в ней росли старые яблони и груши [5, с. 135].</w:t>
      </w:r>
    </w:p>
    <w:p w14:paraId="468DEF88" w14:textId="77777777" w:rsidR="00216744" w:rsidRDefault="00216744" w:rsidP="00216744">
      <w:pPr>
        <w:pStyle w:val="7"/>
        <w:rPr>
          <w:b/>
        </w:rPr>
      </w:pPr>
      <w:r>
        <w:t>В парке имелась оранжерея с двумя печами и двадцатью тремя окнами. Ее растения в летнее время выставляли на партере, охваченном шпалерами из ели.</w:t>
      </w:r>
    </w:p>
    <w:p w14:paraId="4E2B0015" w14:textId="77777777" w:rsidR="00216744" w:rsidRDefault="00216744" w:rsidP="00216744">
      <w:pPr>
        <w:pStyle w:val="7"/>
      </w:pPr>
      <w:r>
        <w:t>К парку примыкали строения, вход в которые был со стороны улицы деревни. В их составе были дом садовника, две конюшни, возовня и дом с избой, двумя коморами, сенями, пекарне и оранжереей. Садовником в это время работал Сымон. Его дом включал двое сеней, две избы, кабинет и небольшое помещение типа алькежа, именуемое «горкой», к которому вели ступеньки с поручнями. Возле дома был устроен колодец с журавлем. В парке по проекту, подготовленному около 1760 г., был заложен фундамент охотничьего дворца (проект хранится в собраниях Национального музея в Варшаве) [5, с. 135].</w:t>
      </w:r>
    </w:p>
    <w:p w14:paraId="7A0E84E9" w14:textId="77777777" w:rsidR="00E94D33" w:rsidRDefault="00216744" w:rsidP="00216744">
      <w:pPr>
        <w:pStyle w:val="7"/>
      </w:pPr>
      <w:r>
        <w:t>Парк был заложен в конце XVI-начале XVII в. Н. К. Радзивиллом Сироткой. Он по окончании своего путешествия по Средиземноморью начал новую эпоху в развитии садового искусства в Несвиже, Мире и Чернавчицах. Затем парк продолжал расширяться, о чем говорят пустые, еще не освоенные кватеры. Вне сомнения, что парк в Чернавчицах наиболее ранний и значительны образец эпохи барокко в Беларуси.</w:t>
      </w:r>
    </w:p>
    <w:p w14:paraId="62AF1100" w14:textId="1A0DD5C8" w:rsidR="00216744" w:rsidRDefault="00216744" w:rsidP="00216744">
      <w:pPr>
        <w:pStyle w:val="7"/>
        <w:rPr>
          <w:b/>
        </w:rPr>
      </w:pPr>
      <w:r>
        <w:t>Радзивиллами планировалось строительство оригинального барочного трехэтажного восьмигранного в плане здания, к граням которого с двух сторон было представлено по два небольших, но высоких «двухэтажных» крыла, квадратных в плане, соединенных вставками с балюстрадными террасами на уровне первого этажа. Дворец завершался живописным шлемоподобным куполом. Крыши крыльев были двухскатными. Он не был построен, на наш взгляд, по причине смерти Михаила Казимира Радзивилла Рыбоньки. Проект хранится в собраниях Национального музея в Варшаве [5, с. 133]. (Рисунок 1).</w:t>
      </w:r>
    </w:p>
    <w:p w14:paraId="712C1200" w14:textId="77777777" w:rsidR="00216744" w:rsidRDefault="00216744" w:rsidP="00216744">
      <w:pPr>
        <w:pStyle w:val="7"/>
        <w:rPr>
          <w:b/>
        </w:rPr>
      </w:pPr>
      <w:r>
        <w:t xml:space="preserve">В XVII веке через местечко проходил большой и важный тракт Люблин – Брест – Вильно. Радзивиллы привлекали в Чернавчицы свободных ремесленников: давали им налоговые льготы, участки земли под застройку. Это касалось также и купцов, торговцев. В 1718 г. Чернавчицы получили герб и магдебурское право. </w:t>
      </w:r>
    </w:p>
    <w:p w14:paraId="42BB8482" w14:textId="77777777" w:rsidR="00216744" w:rsidRDefault="00216744" w:rsidP="00216744">
      <w:pPr>
        <w:pStyle w:val="7"/>
        <w:rPr>
          <w:b/>
        </w:rPr>
      </w:pPr>
      <w:r>
        <w:lastRenderedPageBreak/>
        <w:t xml:space="preserve">В начале </w:t>
      </w:r>
      <w:r>
        <w:rPr>
          <w:lang w:val="en-US"/>
        </w:rPr>
        <w:t>XIX</w:t>
      </w:r>
      <w:r>
        <w:t xml:space="preserve"> в. Чернавчицы от Радзивиллов в виде приданого Юзефины, дочери Михаила Казимира Рыбоньки, перешли Грабовским [2, с.56].</w:t>
      </w:r>
    </w:p>
    <w:p w14:paraId="2ED74878" w14:textId="77777777" w:rsidR="00216744" w:rsidRDefault="00216744" w:rsidP="00216744">
      <w:pPr>
        <w:pStyle w:val="7"/>
        <w:rPr>
          <w:b/>
        </w:rPr>
      </w:pPr>
      <w:r>
        <w:t>К сожалению, замок в Чернавчицах, был уничтожен в годы Первой мировой войны и от него не сохранилось даже следов.</w:t>
      </w:r>
    </w:p>
    <w:p w14:paraId="1403E3E3" w14:textId="77777777" w:rsidR="00216744" w:rsidRDefault="00216744" w:rsidP="00216744">
      <w:pPr>
        <w:pStyle w:val="7"/>
        <w:rPr>
          <w:b/>
        </w:rPr>
      </w:pPr>
      <w:r>
        <w:rPr>
          <w:b/>
        </w:rPr>
        <w:t>Владельцы Чернавчицкой резиденции</w:t>
      </w:r>
    </w:p>
    <w:p w14:paraId="744A2918" w14:textId="77777777" w:rsidR="00216744" w:rsidRDefault="00216744" w:rsidP="00216744">
      <w:pPr>
        <w:pStyle w:val="7"/>
      </w:pPr>
      <w:r>
        <w:t>Ивашко Ильинич – первый известный представитель рода Ильиничей, владевший Чернавчицами.  С 1482 г. наместник витебский, в 1487–1489 гг. наместник великого князя Казимира в Смоленске (свою должность получил в награду за спасения жизни монарха в бою). Был возведён в рыцарское звание с вручением родового герба. После 1477 г. один из представителей средней шляхты в Беларуси. Поменял родовые земли в Волковыском повете на Чернавчицы и Турну [2, с. 55].</w:t>
      </w:r>
    </w:p>
    <w:p w14:paraId="5C176F4F" w14:textId="77777777" w:rsidR="00216744" w:rsidRDefault="00216744" w:rsidP="00216744">
      <w:pPr>
        <w:pStyle w:val="7"/>
      </w:pPr>
      <w:r>
        <w:t xml:space="preserve">Юрий Иванович Ильинич (1490–1526 годы владения Чернавчицким замком), староста берестейский с 1510 по 1510 гг., в 1510 г. выкупил несколько усадьб в округе, поэтому Чернавчицкий двор приобрел довольно большие размеры. В его состав вошли усадьбы Дземиничи, Воля, Ясенец и др. После смерти Юрия Ильинича Чернавчицкий двор по наследству перешел во владение его двух сыновей (Станислава 1500-1531 гг. и Щасного 1505–1542 гг.), а в 1567 г. большая часть двора досталась его внуку, тоже Юрию, сыну Феликса и Софьи Радзивилл [2, с.56]. Он не имел наследников, поэтому Чернавчицы вместе с Миром и другими имениями завещал родственникам по материнской линии – Радзивиллам, которые им будут владеть до конца </w:t>
      </w:r>
      <w:r>
        <w:rPr>
          <w:lang w:val="en-US"/>
        </w:rPr>
        <w:t>XVIII</w:t>
      </w:r>
      <w:r>
        <w:t xml:space="preserve"> века.</w:t>
      </w:r>
    </w:p>
    <w:p w14:paraId="0A1611A1" w14:textId="77777777" w:rsidR="00216744" w:rsidRDefault="00216744" w:rsidP="00216744">
      <w:pPr>
        <w:pStyle w:val="7"/>
      </w:pPr>
      <w:r>
        <w:t>Николай Криштоф Радзивилл Сиротка (1568–1616 годы владения Чернавчицким замком) – первый из Радзивилов, который владел Чернавчицами. Старший сын канцлера великого литовского и воеводы виленского Николая Чёрного Радзивилла (1515–1565 гг.) и графини Эльжбеты Шидловецкой (1533–1562 гг.), дочери Криштофа. В 1586 г. отказался от должности великого маршалка Великого Княжества Литовского в пользу своего брата Альбрехта и получил должность трокского каштеляна, в 1590 г. назначен трокским воеводой, а в 1604 г. – виленским воеводой [7, с. 356].</w:t>
      </w:r>
    </w:p>
    <w:p w14:paraId="0BAEFE7F" w14:textId="77777777" w:rsidR="00216744" w:rsidRDefault="00216744" w:rsidP="00216744">
      <w:pPr>
        <w:pStyle w:val="7"/>
      </w:pPr>
      <w:r>
        <w:t xml:space="preserve">Он вернулся из Палестины, в 1595 г., построил на месте деревянного кастела, который существовал в </w:t>
      </w:r>
      <w:r>
        <w:rPr>
          <w:lang w:val="en-US"/>
        </w:rPr>
        <w:t>XIV</w:t>
      </w:r>
      <w:r>
        <w:t>–</w:t>
      </w:r>
      <w:r>
        <w:rPr>
          <w:lang w:val="en-US"/>
        </w:rPr>
        <w:t>XV</w:t>
      </w:r>
      <w:r>
        <w:t xml:space="preserve"> вв., новый каменный католический храм. В 1661 г. смоленский епископ Ежи Белазор правел реставрацию Чернавчицкого кастела и придал ему наименование Свято-Троицкого. В конце </w:t>
      </w:r>
      <w:r>
        <w:rPr>
          <w:lang w:val="en-US"/>
        </w:rPr>
        <w:t>XVI</w:t>
      </w:r>
      <w:r>
        <w:t xml:space="preserve"> в. в Чернавчицкой усадьбе Радзивиллы возвели замок около дороги с Чернавчиц до Турны [2, с. 56].</w:t>
      </w:r>
    </w:p>
    <w:p w14:paraId="4C51BC21" w14:textId="77777777" w:rsidR="00C05E44" w:rsidRDefault="00C05E44" w:rsidP="00C05E44">
      <w:pPr>
        <w:spacing w:after="0" w:line="240" w:lineRule="auto"/>
        <w:ind w:firstLine="567"/>
        <w:jc w:val="both"/>
        <w:rPr>
          <w:rFonts w:ascii="Times New Roman" w:hAnsi="Times New Roman" w:cs="Times New Roman"/>
          <w:sz w:val="20"/>
          <w:szCs w:val="20"/>
        </w:rPr>
      </w:pPr>
    </w:p>
    <w:p w14:paraId="76AB12F4" w14:textId="77777777" w:rsidR="00C05E44" w:rsidRDefault="00C05E44" w:rsidP="00C05E44">
      <w:pPr>
        <w:spacing w:after="0" w:line="240" w:lineRule="auto"/>
        <w:jc w:val="center"/>
        <w:rPr>
          <w:rFonts w:ascii="Times New Roman" w:eastAsia="Calibri" w:hAnsi="Times New Roman" w:cs="Times New Roman"/>
          <w:b/>
          <w:noProof/>
          <w:sz w:val="28"/>
          <w:szCs w:val="28"/>
        </w:rPr>
      </w:pPr>
      <w:r>
        <w:rPr>
          <w:rFonts w:ascii="Times New Roman" w:hAnsi="Times New Roman" w:cs="Times New Roman"/>
          <w:b/>
          <w:noProof/>
          <w:szCs w:val="28"/>
          <w:lang w:eastAsia="ru-RU"/>
        </w:rPr>
        <w:lastRenderedPageBreak/>
        <w:drawing>
          <wp:inline distT="0" distB="0" distL="0" distR="0" wp14:anchorId="2BF2080D" wp14:editId="64A39717">
            <wp:extent cx="5227093" cy="592324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0117" cy="5926676"/>
                    </a:xfrm>
                    <a:prstGeom prst="rect">
                      <a:avLst/>
                    </a:prstGeom>
                    <a:noFill/>
                    <a:ln>
                      <a:noFill/>
                    </a:ln>
                  </pic:spPr>
                </pic:pic>
              </a:graphicData>
            </a:graphic>
          </wp:inline>
        </w:drawing>
      </w:r>
    </w:p>
    <w:p w14:paraId="1C031A19" w14:textId="77777777" w:rsidR="00C05E44" w:rsidRDefault="00C05E44" w:rsidP="00C05E44">
      <w:pPr>
        <w:spacing w:after="0" w:line="240" w:lineRule="auto"/>
        <w:rPr>
          <w:rFonts w:ascii="Times New Roman" w:eastAsia="Calibri" w:hAnsi="Times New Roman" w:cs="Times New Roman"/>
          <w:b/>
          <w:noProof/>
          <w:sz w:val="28"/>
          <w:szCs w:val="28"/>
        </w:rPr>
      </w:pPr>
    </w:p>
    <w:p w14:paraId="0F80D56F" w14:textId="4F935691" w:rsidR="00C05E44" w:rsidRPr="00216744" w:rsidRDefault="00C05E44" w:rsidP="00C05E44">
      <w:pPr>
        <w:spacing w:after="0" w:line="240" w:lineRule="auto"/>
        <w:jc w:val="center"/>
        <w:rPr>
          <w:rFonts w:ascii="Times New Roman" w:hAnsi="Times New Roman" w:cs="Times New Roman"/>
          <w:sz w:val="24"/>
          <w:szCs w:val="24"/>
        </w:rPr>
      </w:pPr>
      <w:r w:rsidRPr="00216744">
        <w:rPr>
          <w:rFonts w:ascii="Times New Roman" w:hAnsi="Times New Roman" w:cs="Times New Roman"/>
          <w:sz w:val="24"/>
          <w:szCs w:val="24"/>
        </w:rPr>
        <w:t>Рисунок 1. Чернавчицы.</w:t>
      </w:r>
      <w:r w:rsidR="00F32EA2">
        <w:rPr>
          <w:rFonts w:ascii="Times New Roman" w:hAnsi="Times New Roman" w:cs="Times New Roman"/>
          <w:sz w:val="24"/>
          <w:szCs w:val="24"/>
        </w:rPr>
        <w:t xml:space="preserve"> </w:t>
      </w:r>
      <w:r w:rsidRPr="00216744">
        <w:rPr>
          <w:rFonts w:ascii="Times New Roman" w:hAnsi="Times New Roman" w:cs="Times New Roman"/>
          <w:sz w:val="24"/>
          <w:szCs w:val="24"/>
        </w:rPr>
        <w:t>Дворец Радзивиллов. Проект. 1761 г.</w:t>
      </w:r>
    </w:p>
    <w:p w14:paraId="5C88C9AE" w14:textId="77777777" w:rsidR="00C05E44" w:rsidRDefault="00C05E44" w:rsidP="00C05E44">
      <w:pPr>
        <w:spacing w:after="0" w:line="240" w:lineRule="auto"/>
        <w:rPr>
          <w:rFonts w:ascii="Times New Roman" w:eastAsia="Calibri" w:hAnsi="Times New Roman" w:cs="Times New Roman"/>
          <w:b/>
          <w:noProof/>
          <w:sz w:val="28"/>
          <w:szCs w:val="28"/>
        </w:rPr>
      </w:pPr>
    </w:p>
    <w:p w14:paraId="06AE078F" w14:textId="77777777" w:rsidR="00C05E44" w:rsidRDefault="00C05E44" w:rsidP="00C05E44">
      <w:pPr>
        <w:spacing w:after="0" w:line="240" w:lineRule="auto"/>
        <w:jc w:val="center"/>
        <w:rPr>
          <w:rFonts w:ascii="Times New Roman" w:hAnsi="Times New Roman" w:cs="Times New Roman"/>
          <w:b/>
          <w:szCs w:val="28"/>
        </w:rPr>
      </w:pPr>
      <w:r>
        <w:rPr>
          <w:rFonts w:ascii="Times New Roman" w:eastAsia="Calibri" w:hAnsi="Times New Roman" w:cs="Times New Roman"/>
          <w:b/>
          <w:noProof/>
          <w:sz w:val="28"/>
          <w:szCs w:val="28"/>
          <w:lang w:eastAsia="ru-RU"/>
        </w:rPr>
        <w:lastRenderedPageBreak/>
        <w:drawing>
          <wp:inline distT="0" distB="0" distL="0" distR="0" wp14:anchorId="46A4790F" wp14:editId="4BAEE8B6">
            <wp:extent cx="5759355" cy="4128934"/>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59035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992" cy="4129391"/>
                    </a:xfrm>
                    <a:prstGeom prst="rect">
                      <a:avLst/>
                    </a:prstGeom>
                    <a:noFill/>
                    <a:ln>
                      <a:noFill/>
                    </a:ln>
                  </pic:spPr>
                </pic:pic>
              </a:graphicData>
            </a:graphic>
          </wp:inline>
        </w:drawing>
      </w:r>
    </w:p>
    <w:p w14:paraId="5D64A947" w14:textId="77777777" w:rsidR="00C05E44" w:rsidRPr="00216744" w:rsidRDefault="00C05E44" w:rsidP="00FF71FC">
      <w:pPr>
        <w:spacing w:after="0" w:line="240" w:lineRule="auto"/>
        <w:jc w:val="center"/>
        <w:rPr>
          <w:rFonts w:ascii="Times New Roman" w:eastAsia="Calibri" w:hAnsi="Times New Roman" w:cs="Times New Roman"/>
          <w:sz w:val="24"/>
          <w:szCs w:val="24"/>
        </w:rPr>
      </w:pPr>
      <w:r w:rsidRPr="00216744">
        <w:rPr>
          <w:rFonts w:ascii="Times New Roman" w:eastAsia="Calibri" w:hAnsi="Times New Roman" w:cs="Times New Roman"/>
          <w:sz w:val="24"/>
          <w:szCs w:val="24"/>
        </w:rPr>
        <w:t>Рисунок 2. Генеалогическое древо Радзивиллов</w:t>
      </w:r>
    </w:p>
    <w:p w14:paraId="79BEE8B3" w14:textId="77777777" w:rsidR="00C05E44" w:rsidRPr="00216744" w:rsidRDefault="00C05E44" w:rsidP="00C05E44">
      <w:pPr>
        <w:tabs>
          <w:tab w:val="center" w:pos="4535"/>
        </w:tabs>
        <w:spacing w:after="0" w:line="240" w:lineRule="auto"/>
        <w:ind w:left="4536" w:hanging="4536"/>
        <w:jc w:val="center"/>
        <w:rPr>
          <w:rFonts w:ascii="Times New Roman" w:hAnsi="Times New Roman" w:cs="Times New Roman"/>
          <w:sz w:val="24"/>
          <w:szCs w:val="24"/>
        </w:rPr>
      </w:pPr>
      <w:r w:rsidRPr="00216744">
        <w:rPr>
          <w:rFonts w:ascii="Times New Roman" w:hAnsi="Times New Roman" w:cs="Times New Roman"/>
          <w:sz w:val="24"/>
          <w:szCs w:val="24"/>
        </w:rPr>
        <w:t>(владельцы замка выделены подчеркиванием)</w:t>
      </w:r>
    </w:p>
    <w:p w14:paraId="10225A8C" w14:textId="77777777" w:rsidR="00F32EA2" w:rsidRDefault="00F32EA2" w:rsidP="00216744">
      <w:pPr>
        <w:pStyle w:val="7"/>
      </w:pPr>
    </w:p>
    <w:p w14:paraId="5365F9AB" w14:textId="77777777" w:rsidR="00216744" w:rsidRDefault="00216744" w:rsidP="00216744">
      <w:pPr>
        <w:pStyle w:val="7"/>
      </w:pPr>
      <w:r>
        <w:t>Станислав Альбрехт Радзивилл (1616–1636 годы владения Чернавчицким замком) – представитель несвижской линии литовского магнатского рода Радзивиллов герба Трубы, сын Николая Радзивилла Черного, канцлера великого литовского, и Эльжбеты Шидловецкой. Имел братьев Станислава, Юрия и Николая. Учился в Лейпцигском университете (1570–1573 гг.) и в Риме (1575–1576 гг.). В 1574 году в Вильне перешёл из кальвинизма в католичество. В 1579–1581 гг. участвовал в Ливонской войне (1558–1582 гг.), за участие во взятии Полоцка получил должность маршалка надворного. Принимал участие в заключении Ям-Запольского мира (1582 г.). В Клецке построил каменный костел, финансировал больницу. В 1639 г. управлял имением в Чернавчицах [5, с.133].</w:t>
      </w:r>
    </w:p>
    <w:p w14:paraId="0A28036B" w14:textId="77777777" w:rsidR="00216744" w:rsidRDefault="00216744" w:rsidP="00216744">
      <w:pPr>
        <w:pStyle w:val="7"/>
      </w:pPr>
      <w:r>
        <w:t xml:space="preserve">Александр Людвиг Радзивилл (1636–1654 годы владения Чернавчицким замком). В 1616 году после смерти своего отца Николая Радзивилла Сиротки Александр Людвиг получил во владение имения Белая и Додуков в Берестейском воеводстве, Греск в Новогрудском воеводстве, Крожы в Жемайтии, после смерти своего старшего брата Яна Ежи в 1625 году – Кореличи. В 1642 году после смерти своего другого старшего брата Жигимонта Кароля унаследовал Несвижскую ординацию. Учился в </w:t>
      </w:r>
      <w:r>
        <w:lastRenderedPageBreak/>
        <w:t>Несвиже и Германии, затем путешествовал по Франции и Италии. В 1621 году Александр Людвиг Радзивилл участвовал в разгроме турецко-татарской армии в битве под Хотином. В 1632–1634 годах принимал участие в войне с Русским государством за Смоленск. В 1646 году также владел Чернавчицами и умер там [5, с.133].</w:t>
      </w:r>
    </w:p>
    <w:p w14:paraId="3C17E1BC" w14:textId="77777777" w:rsidR="00216744" w:rsidRDefault="00216744" w:rsidP="00216744">
      <w:pPr>
        <w:pStyle w:val="7"/>
      </w:pPr>
      <w:r>
        <w:t>Доминик Николай Радзивилл (1654–1697 годы владения Чернавчицким замком) – государственный деятель Речи Посполитой. Подскарбий надворный литовский в 1677 – 1681 годах, подканцлер литовский 1681–1690 годах, канцлер великий литовский с 1690 года, маршалок Трибунала литовского в 1685 году. Староста лидский, волковысский, вербиловский, пинский, тухольский, радомский и гневский. С 1690 года ординат клецкий. Основатель младшей (клецкой) линии рода Радзивиллов. Также владел резиденцией в Чернавчицах.</w:t>
      </w:r>
    </w:p>
    <w:p w14:paraId="7B3BB62C" w14:textId="77777777" w:rsidR="00216744" w:rsidRDefault="00216744" w:rsidP="00216744">
      <w:pPr>
        <w:pStyle w:val="7"/>
      </w:pPr>
      <w:r>
        <w:t>Ян Николай Радзивилл (1627–1629 годы владения Чернавчицким замком) – государственный деятель Великого княжества Литовского, кравчий литовский (1699–1706 гг. и 1707–1708 гг.), каштелян виленский (1707), воевода новогрудский (1709–1729), староста лидский, юрборский, судовский. Унаследовал резиденцию в Чернавчицах. Ян Николай Радзивилл был психически неуравновешенным человеком. Душевная болезнь передалась его сыну, наследнику Мартину Николаю [2, с.56].</w:t>
      </w:r>
    </w:p>
    <w:p w14:paraId="3CC89DC3" w14:textId="77777777" w:rsidR="00216744" w:rsidRDefault="00216744" w:rsidP="00216744">
      <w:pPr>
        <w:pStyle w:val="7"/>
      </w:pPr>
      <w:r>
        <w:t>Мартин Николай Радзивилл (1729 –1748 годы владения Чернавчицким замком) – представитель княжеского рода Радзивиллов герба «Трубы». Сын Яна Николая Радзивилла и Генриетты Дороты из Пшебендовских. Единственный из оставшихся в живых детей князя Яна Николая, стал наследником – VII ординатом многочисленных имений и земельных наделов, в том числе Клецка и Острува [7, с. 357]. В молодости получил хорошее образование, интересовался медициной, физикой и алхимией. Король польский и великий князь литовский Август Сильный назначил его – 18-летнего юношу – литовским кравчим.</w:t>
      </w:r>
    </w:p>
    <w:p w14:paraId="77590B57" w14:textId="77777777" w:rsidR="00216744" w:rsidRDefault="00216744" w:rsidP="00216744">
      <w:pPr>
        <w:pStyle w:val="7"/>
      </w:pPr>
      <w:r>
        <w:t>Мартин Николай Радзивилл уже в молодые годы проявлял признаки психической неуравновешенности. Михаил Казимир Радзивилл Рыбонька сдерживал родственника от непредсказуемых выходок (например, от нападений на шляхту, проезжающую по общественным дорогам). В своей лаборатории занимался поисками философского камня. Кроме того, окружил себя евреями и посвятил себя исследованиям талмуда, для чего выучил иврит, практиковал их религиозные традиции. Иероним Флориан объявил родственника сумасшедшим и забрал в опеку его имущество.</w:t>
      </w:r>
    </w:p>
    <w:p w14:paraId="2E151014" w14:textId="77777777" w:rsidR="00216744" w:rsidRDefault="00216744" w:rsidP="00216744">
      <w:pPr>
        <w:pStyle w:val="7"/>
      </w:pPr>
      <w:r>
        <w:t xml:space="preserve">Иероним Флориан Радзивилл (1748–1760 годы владения Чернавчицким замком) – представитель несвижской линии магнатского рода Радзивиллов, третий сын канцлера великого литовского и несвижского ордината Кароля Станислава Радзивилла (1669–1719) и Анны Катарины </w:t>
      </w:r>
      <w:r>
        <w:lastRenderedPageBreak/>
        <w:t>Сангушко (1676–1746). Младший брат гетмана великого литовского и воеводы виленского Михаила Казимира Радзивилла Рыбоньки.</w:t>
      </w:r>
    </w:p>
    <w:p w14:paraId="79169253" w14:textId="77777777" w:rsidR="00216744" w:rsidRDefault="00216744" w:rsidP="00216744">
      <w:pPr>
        <w:pStyle w:val="7"/>
      </w:pPr>
      <w:r>
        <w:t>Иероним Флориан Радзивилл был эксцентричным, окружал себя иностранцами, в основном немцами. Он любил охотиться, играть и веселиться. Основал в Слуцке мануфактуру, на которой производились слуцкие пояса, пользовавшиеся большой популярностью на территории Речи Посполитой. Он был известен свирепостью и жестокостью в отношении крепостных крестьян и даже дворян. Именно Иероним Флориан Радзивилл жестоко подавил Крическое восстание крестьян под руководством Василия Ващилы в 1744 г. В Бяле-Подляской и Слуцке были построены тюрьмы, в которые мог угодить любой человек, вызвавший гнев и недовольство Иеронима Радзивилла. Садизм был причиной двух его разводов.</w:t>
      </w:r>
    </w:p>
    <w:p w14:paraId="71F869CB" w14:textId="77777777" w:rsidR="00216744" w:rsidRDefault="00216744" w:rsidP="00216744">
      <w:pPr>
        <w:pStyle w:val="7"/>
      </w:pPr>
      <w:r>
        <w:t>Михаил Казимир Радзивилл Рыбонька (1760–1762 годы владения Чернавчицким замком) – гетман великий литовский из рода Радзивиллов, владелец Несвижского замка (и ординации). Сын великого канцлера Кароля Станислава Радзивилла. После смерти Иеронима Радзивилла Чернавчицы перешли во владение знаменитому гетману ВКЛ Михаилу Казимиру Радзивиллу Рыбаньке. Он планировал вслед за Несвижем возродить Чернавчицкий замок, был создан проект нового дворца, но его смерть в 1762 году помешала этому осуществиться. Чернавчицы перешли во владение к младшей дочери Юзефине, которая вышла замуж за хорунжего великого литовского Григория Грабовского. Тем самым Чернавчицкий замок перешёл от Радзивиллов к Грабовским.</w:t>
      </w:r>
    </w:p>
    <w:p w14:paraId="61FF8376" w14:textId="77777777" w:rsidR="00216744" w:rsidRDefault="00216744" w:rsidP="00216744">
      <w:pPr>
        <w:pStyle w:val="7"/>
      </w:pPr>
      <w:r>
        <w:rPr>
          <w:b/>
        </w:rPr>
        <w:t>Троицкий костел</w:t>
      </w:r>
    </w:p>
    <w:p w14:paraId="2263234E" w14:textId="77777777" w:rsidR="00216744" w:rsidRDefault="00216744" w:rsidP="00216744">
      <w:pPr>
        <w:pStyle w:val="7"/>
      </w:pPr>
      <w:r>
        <w:t xml:space="preserve">Костел Святой Троицы в деревне Чернавчицы – памятник средневекового белорусского зодчества. Первый храм на этом месте был построен во времена, когда Чернавчицами владел род Ильиничей – в </w:t>
      </w:r>
      <w:r>
        <w:rPr>
          <w:lang w:val="en-US"/>
        </w:rPr>
        <w:t>XV</w:t>
      </w:r>
      <w:r>
        <w:t xml:space="preserve"> веке [4, с. 72]. Последний из рода Юрий Ильинич не имел наследников и завещал все свое имущество, вместе с Чернавчицами своему кузену именитому князю Николаю Криштофу Радзивиллу Сиротке.</w:t>
      </w:r>
    </w:p>
    <w:p w14:paraId="504E2E38" w14:textId="77777777" w:rsidR="00216744" w:rsidRDefault="00216744" w:rsidP="00216744">
      <w:pPr>
        <w:pStyle w:val="7"/>
      </w:pPr>
      <w:r>
        <w:t>Николай Криштоф Радзивилл Сиротка повелел построить в 1583 году храм-крепость в Чернавчицах на месте обветшалого старого храма, видимо, желая дать дополнительную защиту населению. Время это было неспокойное, врага можно было ждать с любой стороны. Храм имеет выраженные оборонительные черты: массивные стены, узкие бойницы, высокую колокольню, с которой можно обозревать окрестности.</w:t>
      </w:r>
    </w:p>
    <w:p w14:paraId="624FEDBD" w14:textId="77777777" w:rsidR="00216744" w:rsidRDefault="00216744" w:rsidP="00216744">
      <w:pPr>
        <w:pStyle w:val="7"/>
      </w:pPr>
      <w:r>
        <w:t>В 1661 году по приказанию епископа Смоленского Ежи Белазора была проведена реставрация древнего храма. После окончания ремонта, костел был повторно освящен во имя Святой Троицы [2, с. 56].</w:t>
      </w:r>
    </w:p>
    <w:p w14:paraId="2F604BDF" w14:textId="77777777" w:rsidR="00216744" w:rsidRDefault="00216744" w:rsidP="00216744">
      <w:pPr>
        <w:pStyle w:val="7"/>
      </w:pPr>
      <w:r>
        <w:lastRenderedPageBreak/>
        <w:t>После польского национально-освободительного восстания российские власти приняли решение о закрытии католических церквей. Троицкий костел в Чернавчицах в 1867 году был передан православной церкви и приобрел византийские черты.</w:t>
      </w:r>
    </w:p>
    <w:p w14:paraId="1C4B662F" w14:textId="77777777" w:rsidR="00216744" w:rsidRDefault="00216744" w:rsidP="00216744">
      <w:pPr>
        <w:pStyle w:val="7"/>
      </w:pPr>
      <w:r>
        <w:t>В начале XX века Троицкий костел был возвращен католикам. Во время немецко-фашистской оккупации у костела производились массовые расстрелы, о чем напоминает обелиск, установленный у его стен [2, с. 56]. Во время советской власти храм действовал. В наши дни является действующим католическим храмом. После передачи костела верующим в 2010 году, в нем была проведена реконструкция.</w:t>
      </w:r>
    </w:p>
    <w:p w14:paraId="139BC715" w14:textId="77777777" w:rsidR="00216744" w:rsidRDefault="00216744" w:rsidP="00216744">
      <w:pPr>
        <w:pStyle w:val="7"/>
      </w:pPr>
      <w:r>
        <w:t>Храм – однонефный с небольшим трансептом бескупольный. Неф, трансепт и полукруглая апсида накрыты высокой двускатной крышей.</w:t>
      </w:r>
    </w:p>
    <w:p w14:paraId="6E1C10B0" w14:textId="77777777" w:rsidR="00E94D33" w:rsidRDefault="00216744" w:rsidP="00216744">
      <w:pPr>
        <w:pStyle w:val="7"/>
      </w:pPr>
      <w:r>
        <w:t>Апсида и боковые фасады несут черты готической архитектуры, что прослеживается в массивных стенах с контрофорсами и узких вытянутых полуциркульных окнах. Толщина стен боковых фасадов 1,3 м. Крутая и высокая крыша также свойственна конструктивным приемам готической архитектуры. Цилиндрический свод украшен лепными нервюрами с геометрическим рисунком – мотив ренессансной архитектуры. В интерьере храма выделяются три барочные деревянные полихромные скульптуры XVIII века, одна в алтаре и две – в нишах главного фасада [3, с. 12</w:t>
      </w:r>
      <w:r w:rsidR="00E94D33">
        <w:t xml:space="preserve">1].    </w:t>
      </w:r>
    </w:p>
    <w:p w14:paraId="5A313856" w14:textId="45B92919" w:rsidR="00216744" w:rsidRDefault="00216744" w:rsidP="00216744">
      <w:pPr>
        <w:pStyle w:val="7"/>
      </w:pPr>
      <w:r>
        <w:t xml:space="preserve">Эпоха барокко не затронуло архитектуры храма, но внесла в его интерьер характерную по динамике и движению католическую деревянную скульптуру </w:t>
      </w:r>
      <w:r>
        <w:rPr>
          <w:lang w:val="en-US"/>
        </w:rPr>
        <w:t>XVIII</w:t>
      </w:r>
      <w:r>
        <w:t xml:space="preserve"> в. в алтаре и нишах главного фасада. В интерьере три скульптуры: «Святой Доминик» в алтаре (привезен из закрытого костела в городе Высокое Каменецкого района), «Святой Антоний» и «Святой Мартин» в нишах главного фасада. На поверхности скульптур сохранились следы покраски золотисто-коричневых и красных тонов. В храме сохранился орнат опоясанный слуцким поясом [3, с. 516].</w:t>
      </w:r>
    </w:p>
    <w:p w14:paraId="2D4B0E90" w14:textId="77777777" w:rsidR="00216744" w:rsidRDefault="00216744" w:rsidP="00216744">
      <w:pPr>
        <w:pStyle w:val="7"/>
      </w:pPr>
      <w:r>
        <w:t xml:space="preserve">Архитектура звонницы носит ярко выраженные черты оборонного зодчества и напоминает композицию оборонной замковой башни Несвижа, построенной также в конце </w:t>
      </w:r>
      <w:r>
        <w:rPr>
          <w:lang w:val="en-US"/>
        </w:rPr>
        <w:t>XVI</w:t>
      </w:r>
      <w:r>
        <w:t xml:space="preserve"> века.</w:t>
      </w:r>
    </w:p>
    <w:p w14:paraId="337A838E" w14:textId="77777777" w:rsidR="00216744" w:rsidRDefault="00216744" w:rsidP="00216744">
      <w:pPr>
        <w:pStyle w:val="7"/>
      </w:pPr>
      <w:r>
        <w:t>Спроектировал костел монах-иезуит, которого Радзивиллы вызвали в Чернавчицы из Италии (потом архитектор переехал для работы в Несвиж). Инженеры прибыли из Швейцарии. Сегодня их произведение – однонефный бескупольный храм – представляет собой уникальный памятник архитектуры республиканского значения. Его длина составляет 30 метров, ширина – 15. В Беларуси сохранились лишь единичные постройки такого типа, а на Брестчине эта и вовсе единственная. Подобный костел возведен в 1580 году в городе Клецке и тоже благодаря Радзивиллу Сиротке.</w:t>
      </w:r>
    </w:p>
    <w:p w14:paraId="7E159EDF" w14:textId="77777777" w:rsidR="00216744" w:rsidRDefault="00216744" w:rsidP="00216744">
      <w:pPr>
        <w:pStyle w:val="7"/>
      </w:pPr>
      <w:r>
        <w:lastRenderedPageBreak/>
        <w:t>Во время Великой Отечественной войны немецко-фашистские оккупанты организовывали возле его стен массовые расстрелы. Как напоминание об этом – обелиск, установленный за стенами костела справа.</w:t>
      </w:r>
    </w:p>
    <w:p w14:paraId="1E7CCB5F" w14:textId="77777777" w:rsidR="00216744" w:rsidRDefault="00216744" w:rsidP="00216744">
      <w:pPr>
        <w:pStyle w:val="7"/>
        <w:rPr>
          <w:b/>
        </w:rPr>
      </w:pPr>
      <w:r>
        <w:rPr>
          <w:b/>
        </w:rPr>
        <w:t>Заключение</w:t>
      </w:r>
    </w:p>
    <w:p w14:paraId="3492C6D1" w14:textId="258C03D0" w:rsidR="00216744" w:rsidRDefault="00216744" w:rsidP="00216744">
      <w:pPr>
        <w:pStyle w:val="7"/>
      </w:pPr>
      <w:r>
        <w:t>В ходе данного исследования были сделаны следующие выводы:</w:t>
      </w:r>
    </w:p>
    <w:p w14:paraId="7DE20874" w14:textId="528341BA" w:rsidR="00216744" w:rsidRDefault="00C05E44" w:rsidP="00216744">
      <w:pPr>
        <w:pStyle w:val="7"/>
      </w:pPr>
      <w:r>
        <w:t xml:space="preserve">- </w:t>
      </w:r>
      <w:r w:rsidR="00216744">
        <w:t>определены основные вехи истории замка в Чернавчицах;</w:t>
      </w:r>
    </w:p>
    <w:p w14:paraId="636B43BF" w14:textId="107D5CC8" w:rsidR="00216744" w:rsidRDefault="00C05E44" w:rsidP="00216744">
      <w:pPr>
        <w:pStyle w:val="7"/>
      </w:pPr>
      <w:r>
        <w:t xml:space="preserve">- </w:t>
      </w:r>
      <w:r w:rsidR="00216744">
        <w:t>найдено предполагаемое место расположения замка и парка;</w:t>
      </w:r>
    </w:p>
    <w:p w14:paraId="2512EF19" w14:textId="345D20D3" w:rsidR="00216744" w:rsidRDefault="00C05E44" w:rsidP="00216744">
      <w:pPr>
        <w:pStyle w:val="7"/>
      </w:pPr>
      <w:r>
        <w:t xml:space="preserve">- </w:t>
      </w:r>
      <w:r w:rsidR="00216744">
        <w:t xml:space="preserve">было выдвинуто предположение о том, что Чернавчицкий замок не был перестроен по новому проекту из-за смерти Михаила Казимира Радзивилла Рыбоньки в 1762 г. </w:t>
      </w:r>
    </w:p>
    <w:p w14:paraId="626B5D75" w14:textId="73C11305" w:rsidR="00216744" w:rsidRDefault="00C05E44" w:rsidP="00216744">
      <w:pPr>
        <w:pStyle w:val="7"/>
      </w:pPr>
      <w:r>
        <w:t>-</w:t>
      </w:r>
      <w:r w:rsidR="00216744">
        <w:t xml:space="preserve"> изучены биографии владельцев замка в Чернавчицах и их влияние на политику государства;</w:t>
      </w:r>
    </w:p>
    <w:p w14:paraId="4BED475E" w14:textId="510394E3" w:rsidR="00216744" w:rsidRDefault="00C05E44" w:rsidP="00216744">
      <w:pPr>
        <w:pStyle w:val="7"/>
      </w:pPr>
      <w:r>
        <w:t xml:space="preserve">- </w:t>
      </w:r>
      <w:r w:rsidR="00216744">
        <w:t>составлен список владельцев замка из представителей Ильиничей и Радзивиллов, чего ранее в историографии сделано не было (Рисунок 2).</w:t>
      </w:r>
    </w:p>
    <w:p w14:paraId="68D7B045" w14:textId="56E365AF" w:rsidR="00216744" w:rsidRDefault="00216744" w:rsidP="00216744">
      <w:pPr>
        <w:pStyle w:val="7"/>
        <w:rPr>
          <w:rFonts w:eastAsia="Calibri"/>
        </w:rPr>
      </w:pPr>
      <w:r>
        <w:rPr>
          <w:rFonts w:eastAsia="Calibri"/>
        </w:rPr>
        <w:t>Продолжением данной исследовательской работы может стать создание экскурсионного маршрута «Шляхетские резиденции, костелы и церкви Брестского района времён Речи Посполитой», отражающего особенности историч</w:t>
      </w:r>
      <w:r w:rsidR="00C05E44">
        <w:rPr>
          <w:rFonts w:eastAsia="Calibri"/>
        </w:rPr>
        <w:t>еского прошлого этого региона.</w:t>
      </w:r>
    </w:p>
    <w:p w14:paraId="594BF859" w14:textId="77777777" w:rsidR="00C05E44" w:rsidRDefault="00C05E44" w:rsidP="00C05E44">
      <w:pPr>
        <w:pStyle w:val="7"/>
      </w:pPr>
    </w:p>
    <w:p w14:paraId="31AB84DE" w14:textId="77777777" w:rsidR="00216744" w:rsidRDefault="00216744" w:rsidP="00C05E44">
      <w:pPr>
        <w:pStyle w:val="7"/>
        <w:rPr>
          <w:rFonts w:eastAsia="Calibri"/>
          <w:szCs w:val="22"/>
        </w:rPr>
      </w:pPr>
    </w:p>
    <w:p w14:paraId="6C8D7872" w14:textId="0AE6481D" w:rsidR="00216744" w:rsidRDefault="00216744" w:rsidP="006F6A4F">
      <w:pPr>
        <w:pStyle w:val="8"/>
        <w:numPr>
          <w:ilvl w:val="0"/>
          <w:numId w:val="23"/>
        </w:numPr>
        <w:ind w:left="0" w:firstLine="709"/>
      </w:pPr>
      <w:r>
        <w:t>Бохан Ю.М. Узбраенне насельн</w:t>
      </w:r>
      <w:r w:rsidRPr="00216744">
        <w:rPr>
          <w:lang w:val="en-US"/>
        </w:rPr>
        <w:t>i</w:t>
      </w:r>
      <w:r>
        <w:t>цтва беларуск</w:t>
      </w:r>
      <w:r w:rsidRPr="00216744">
        <w:rPr>
          <w:lang w:val="en-US"/>
        </w:rPr>
        <w:t>i</w:t>
      </w:r>
      <w:r>
        <w:t xml:space="preserve">х зямель у </w:t>
      </w:r>
      <w:r w:rsidRPr="00216744">
        <w:rPr>
          <w:lang w:val="en-US"/>
        </w:rPr>
        <w:t>XIV</w:t>
      </w:r>
      <w:r>
        <w:t xml:space="preserve"> – </w:t>
      </w:r>
      <w:r w:rsidRPr="00216744">
        <w:rPr>
          <w:lang w:val="en-US"/>
        </w:rPr>
        <w:t>XVI</w:t>
      </w:r>
      <w:r>
        <w:t xml:space="preserve"> стагоддзях / Ю.М. Бохан. – Мн.: Беларусь, 2012. – 151 с.</w:t>
      </w:r>
    </w:p>
    <w:p w14:paraId="0A52A23B" w14:textId="433F1A47" w:rsidR="00216744" w:rsidRDefault="00216744" w:rsidP="00216744">
      <w:pPr>
        <w:pStyle w:val="8"/>
      </w:pPr>
      <w:r>
        <w:t>Несцярчук Л.М. Замк</w:t>
      </w:r>
      <w:r>
        <w:rPr>
          <w:lang w:val="en-US"/>
        </w:rPr>
        <w:t>i</w:t>
      </w:r>
      <w:r>
        <w:t>, палацы, парк</w:t>
      </w:r>
      <w:r>
        <w:rPr>
          <w:lang w:val="en-US"/>
        </w:rPr>
        <w:t>i</w:t>
      </w:r>
      <w:r>
        <w:t xml:space="preserve"> Берасцейшчыны </w:t>
      </w:r>
      <w:r>
        <w:rPr>
          <w:lang w:val="en-US"/>
        </w:rPr>
        <w:t>X</w:t>
      </w:r>
      <w:r>
        <w:t>-</w:t>
      </w:r>
      <w:r>
        <w:rPr>
          <w:lang w:val="en-US"/>
        </w:rPr>
        <w:t>XX</w:t>
      </w:r>
      <w:r>
        <w:t xml:space="preserve"> стст. – Мн.: БЕЛТА, 2002. – 336 с.</w:t>
      </w:r>
    </w:p>
    <w:p w14:paraId="1F266BCE" w14:textId="37B9AE5F" w:rsidR="00216744" w:rsidRDefault="00216744" w:rsidP="00216744">
      <w:pPr>
        <w:pStyle w:val="8"/>
      </w:pPr>
      <w:r>
        <w:t>Памяць: Г</w:t>
      </w:r>
      <w:r>
        <w:rPr>
          <w:lang w:val="en-US"/>
        </w:rPr>
        <w:t>i</w:t>
      </w:r>
      <w:r>
        <w:t>ст.-дакум. хрон</w:t>
      </w:r>
      <w:r>
        <w:rPr>
          <w:lang w:val="en-US"/>
        </w:rPr>
        <w:t>i</w:t>
      </w:r>
      <w:r>
        <w:t>ка Брэсцкага раена. – Мн.: БЕЛТА, 1998. – 574 с.</w:t>
      </w:r>
    </w:p>
    <w:p w14:paraId="2002846C" w14:textId="1DBA954E" w:rsidR="00216744" w:rsidRDefault="00216744" w:rsidP="00216744">
      <w:pPr>
        <w:pStyle w:val="8"/>
      </w:pPr>
      <w:r>
        <w:t>Свод памятников истории и культуры Белоруссии. Брестская область / АН БССР, ред. кол.: С. В. Марцелев (гл. ред.) и др. – Мн.: БелСЭ, 1990. – 424 с.</w:t>
      </w:r>
    </w:p>
    <w:p w14:paraId="1B9EDAC2" w14:textId="57FA060A" w:rsidR="00216744" w:rsidRDefault="00216744" w:rsidP="00216744">
      <w:pPr>
        <w:pStyle w:val="8"/>
      </w:pPr>
      <w:r>
        <w:t>Федорук А.Т. Старинные усадьбы Берестейщины. – Мн.: БелЭН, 2004. – 576 с.</w:t>
      </w:r>
    </w:p>
    <w:p w14:paraId="383B0ECE" w14:textId="686769C1" w:rsidR="00216744" w:rsidRDefault="00216744" w:rsidP="00216744">
      <w:pPr>
        <w:pStyle w:val="8"/>
      </w:pPr>
      <w:r>
        <w:t>Энцыклапедыя гісторыі Беларусі: У 6 т. Т. 6. Кн. 1: Пузыны – Усая / Беларус.; Энцыкл.; Рэдкал.: Г.П.Пашкоў (галоўны рэд.) і інш.; Маст. Э.Э.Жакевіч. – Мн.: БелЭн, 2001. .</w:t>
      </w:r>
    </w:p>
    <w:p w14:paraId="4CB3D5DE" w14:textId="2D40DEC9" w:rsidR="00216744" w:rsidRDefault="00216744" w:rsidP="00216744">
      <w:pPr>
        <w:pStyle w:val="8"/>
      </w:pPr>
      <w:r>
        <w:t>Энцыклапедыя гісторыі Беларусі: У 6 т. Т. 3. Гімназіі – Кадэнцыя / Беларус.; Энцыкл.; Рэдкал.: Г.П.Пашкоў (галоўны рэд.) і інш. – Мн.: БелЭн, 1996. – 527 с.</w:t>
      </w:r>
    </w:p>
    <w:p w14:paraId="1C7F6268" w14:textId="77777777" w:rsidR="00FF71FC" w:rsidRPr="00F7633C" w:rsidRDefault="00FF71FC" w:rsidP="00FF71FC">
      <w:pPr>
        <w:pStyle w:val="7"/>
        <w:rPr>
          <w:bCs/>
          <w:lang w:val="be-BY"/>
        </w:rPr>
      </w:pPr>
    </w:p>
    <w:p w14:paraId="5DEEE487" w14:textId="77777777" w:rsidR="00FF71FC" w:rsidRDefault="000C69B3" w:rsidP="00FF71FC">
      <w:pPr>
        <w:pStyle w:val="Standard"/>
        <w:jc w:val="center"/>
        <w:rPr>
          <w:rStyle w:val="a9"/>
          <w:rFonts w:ascii="Times New Roman" w:hAnsi="Times New Roman" w:cs="Times New Roman"/>
          <w:i/>
          <w:color w:val="auto"/>
          <w:sz w:val="28"/>
          <w:szCs w:val="28"/>
          <w:u w:val="none"/>
          <w:lang w:val="be-BY"/>
        </w:rPr>
      </w:pPr>
      <w:hyperlink w:anchor="_СОДЕРЖАНИЕ" w:history="1">
        <w:r w:rsidR="00FF71FC" w:rsidRPr="009D63FE">
          <w:rPr>
            <w:rStyle w:val="a9"/>
            <w:rFonts w:ascii="Times New Roman" w:hAnsi="Times New Roman" w:cs="Times New Roman"/>
            <w:i/>
            <w:color w:val="auto"/>
            <w:sz w:val="28"/>
            <w:szCs w:val="28"/>
            <w:u w:val="none"/>
            <w:lang w:val="be-BY"/>
          </w:rPr>
          <w:t>К содержанию</w:t>
        </w:r>
      </w:hyperlink>
    </w:p>
    <w:p w14:paraId="30C20A73" w14:textId="77777777" w:rsidR="00FF71FC" w:rsidRDefault="00FF71FC" w:rsidP="00FF71FC">
      <w:pPr>
        <w:pStyle w:val="12"/>
        <w:rPr>
          <w:lang w:val="ru-RU"/>
        </w:rPr>
      </w:pPr>
    </w:p>
    <w:p w14:paraId="70230B6E" w14:textId="77777777" w:rsidR="006A0422" w:rsidRDefault="006A0422" w:rsidP="0049132B">
      <w:pPr>
        <w:spacing w:after="0" w:line="240" w:lineRule="auto"/>
        <w:ind w:firstLine="709"/>
        <w:jc w:val="both"/>
        <w:rPr>
          <w:rFonts w:ascii="Times New Roman" w:hAnsi="Times New Roman" w:cs="Times New Roman"/>
          <w:caps/>
          <w:sz w:val="28"/>
          <w:szCs w:val="28"/>
        </w:rPr>
      </w:pPr>
    </w:p>
    <w:p w14:paraId="1F17BDD6" w14:textId="77777777" w:rsidR="00FF71FC" w:rsidRDefault="00FF71FC" w:rsidP="0049132B">
      <w:pPr>
        <w:spacing w:after="0" w:line="240" w:lineRule="auto"/>
        <w:ind w:firstLine="709"/>
        <w:jc w:val="both"/>
        <w:rPr>
          <w:rFonts w:ascii="Times New Roman" w:hAnsi="Times New Roman" w:cs="Times New Roman"/>
          <w:caps/>
          <w:sz w:val="28"/>
          <w:szCs w:val="28"/>
        </w:rPr>
      </w:pPr>
    </w:p>
    <w:p w14:paraId="0B7A6417" w14:textId="77777777" w:rsidR="006A0422" w:rsidRDefault="006A0422" w:rsidP="0049132B">
      <w:pPr>
        <w:spacing w:after="0" w:line="240" w:lineRule="auto"/>
        <w:ind w:firstLine="709"/>
        <w:jc w:val="both"/>
        <w:rPr>
          <w:rFonts w:ascii="Times New Roman" w:hAnsi="Times New Roman" w:cs="Times New Roman"/>
          <w:caps/>
          <w:sz w:val="28"/>
          <w:szCs w:val="28"/>
        </w:rPr>
      </w:pPr>
    </w:p>
    <w:p w14:paraId="229CD630" w14:textId="77777777" w:rsidR="002E4BD4" w:rsidRDefault="002E4BD4" w:rsidP="0049132B">
      <w:pPr>
        <w:spacing w:after="0" w:line="240" w:lineRule="auto"/>
        <w:ind w:firstLine="709"/>
        <w:jc w:val="both"/>
        <w:rPr>
          <w:rFonts w:ascii="Times New Roman" w:hAnsi="Times New Roman" w:cs="Times New Roman"/>
          <w:caps/>
          <w:sz w:val="28"/>
          <w:szCs w:val="28"/>
        </w:rPr>
      </w:pPr>
    </w:p>
    <w:p w14:paraId="75D1C501" w14:textId="77777777" w:rsidR="002E4BD4" w:rsidRDefault="002E4BD4" w:rsidP="0049132B">
      <w:pPr>
        <w:spacing w:after="0" w:line="240" w:lineRule="auto"/>
        <w:ind w:firstLine="709"/>
        <w:jc w:val="both"/>
        <w:rPr>
          <w:rFonts w:ascii="Times New Roman" w:hAnsi="Times New Roman" w:cs="Times New Roman"/>
          <w:caps/>
          <w:sz w:val="28"/>
          <w:szCs w:val="28"/>
        </w:rPr>
      </w:pPr>
    </w:p>
    <w:p w14:paraId="3ED77ED7" w14:textId="51412164" w:rsidR="00F044A4" w:rsidRPr="00CA70D6" w:rsidRDefault="00F044A4" w:rsidP="00F044A4">
      <w:pPr>
        <w:pStyle w:val="12"/>
      </w:pPr>
      <w:r w:rsidRPr="00CA70D6">
        <w:lastRenderedPageBreak/>
        <w:t xml:space="preserve">УДК </w:t>
      </w:r>
      <w:r w:rsidR="00E445B3">
        <w:rPr>
          <w:lang w:val="ru-RU"/>
        </w:rPr>
        <w:t>94</w:t>
      </w:r>
      <w:r w:rsidR="00E445B3" w:rsidRPr="00A81B93">
        <w:t>(476)</w:t>
      </w:r>
    </w:p>
    <w:p w14:paraId="6C29C582" w14:textId="77777777" w:rsidR="00F044A4" w:rsidRDefault="00F044A4" w:rsidP="00F044A4">
      <w:pPr>
        <w:pStyle w:val="14"/>
      </w:pPr>
      <w:bookmarkStart w:id="47" w:name="_Toc181884606"/>
      <w:bookmarkStart w:id="48" w:name="_Toc181894098"/>
      <w:r w:rsidRPr="00CA70D6">
        <w:t>А. С. ЯКОВИНИЧ</w:t>
      </w:r>
      <w:bookmarkEnd w:id="47"/>
      <w:bookmarkEnd w:id="48"/>
      <w:r w:rsidRPr="00CA70D6">
        <w:t xml:space="preserve"> </w:t>
      </w:r>
    </w:p>
    <w:p w14:paraId="198B1067" w14:textId="77777777" w:rsidR="00F044A4" w:rsidRPr="00CA70D6" w:rsidRDefault="00F044A4" w:rsidP="00F044A4">
      <w:pPr>
        <w:pStyle w:val="3"/>
      </w:pPr>
      <w:r>
        <w:t xml:space="preserve">Брест, </w:t>
      </w:r>
      <w:r w:rsidRPr="00CA70D6">
        <w:t>БрГУ имени А. С. Пушкина</w:t>
      </w:r>
    </w:p>
    <w:p w14:paraId="070102C8" w14:textId="77777777" w:rsidR="00F044A4" w:rsidRPr="00CA70D6" w:rsidRDefault="00F044A4" w:rsidP="00F044A4">
      <w:pPr>
        <w:pStyle w:val="4"/>
      </w:pPr>
      <w:r w:rsidRPr="00CA70D6">
        <w:t>Научный руководитель: В. Ю. Пилипович, старший преподаватель.</w:t>
      </w:r>
    </w:p>
    <w:p w14:paraId="4CD47172" w14:textId="77777777" w:rsidR="00F044A4" w:rsidRDefault="00F044A4" w:rsidP="00F044A4">
      <w:pPr>
        <w:spacing w:after="0" w:line="240" w:lineRule="auto"/>
        <w:ind w:firstLine="567"/>
        <w:jc w:val="both"/>
        <w:rPr>
          <w:rFonts w:ascii="Times New Roman" w:hAnsi="Times New Roman" w:cs="Times New Roman"/>
          <w:sz w:val="20"/>
          <w:szCs w:val="20"/>
        </w:rPr>
      </w:pPr>
    </w:p>
    <w:p w14:paraId="0D110480" w14:textId="49F39731" w:rsidR="00F044A4" w:rsidRPr="00563842" w:rsidRDefault="00F044A4" w:rsidP="00F044A4">
      <w:pPr>
        <w:pStyle w:val="5"/>
      </w:pPr>
      <w:r>
        <w:t xml:space="preserve">ДЕРЕВНЯ ВЕРХОВИЧИ И </w:t>
      </w:r>
      <w:r w:rsidR="00FF71FC">
        <w:t xml:space="preserve">окрестности </w:t>
      </w:r>
      <w:r w:rsidR="00FF71FC">
        <w:br/>
      </w:r>
      <w:r>
        <w:t>В ИСТОРИЧЕСКИХ ИССЛЕДОВАНИЯХ</w:t>
      </w:r>
      <w:r w:rsidR="00FF71FC">
        <w:t>: ОБЗОР</w:t>
      </w:r>
      <w:r w:rsidR="0067069C">
        <w:t xml:space="preserve"> ЛИтЕРАТУРЫ</w:t>
      </w:r>
    </w:p>
    <w:p w14:paraId="60E64D0F" w14:textId="77777777" w:rsidR="00F044A4" w:rsidRDefault="00F044A4" w:rsidP="00F044A4">
      <w:pPr>
        <w:spacing w:after="0" w:line="240" w:lineRule="auto"/>
        <w:ind w:firstLine="567"/>
        <w:jc w:val="both"/>
        <w:rPr>
          <w:rFonts w:ascii="Times New Roman" w:hAnsi="Times New Roman" w:cs="Times New Roman"/>
          <w:sz w:val="24"/>
          <w:szCs w:val="24"/>
        </w:rPr>
      </w:pPr>
    </w:p>
    <w:p w14:paraId="7E2718E1" w14:textId="6D8DBE18" w:rsidR="00F044A4" w:rsidRPr="00CA70D6" w:rsidRDefault="00F044A4" w:rsidP="00F044A4">
      <w:pPr>
        <w:pStyle w:val="6"/>
      </w:pPr>
      <w:r>
        <w:t>В статье представлен краткий обзор</w:t>
      </w:r>
      <w:r w:rsidR="00E21EA7">
        <w:rPr>
          <w:lang w:val="ru-RU"/>
        </w:rPr>
        <w:t xml:space="preserve"> исторических исследований</w:t>
      </w:r>
      <w:r>
        <w:t>, посвящённы</w:t>
      </w:r>
      <w:r w:rsidR="00E21EA7">
        <w:rPr>
          <w:lang w:val="ru-RU"/>
        </w:rPr>
        <w:t>х либо затрагивающих историю</w:t>
      </w:r>
      <w:r>
        <w:t xml:space="preserve"> деревн</w:t>
      </w:r>
      <w:r w:rsidR="00E21EA7">
        <w:rPr>
          <w:lang w:val="ru-RU"/>
        </w:rPr>
        <w:t>и</w:t>
      </w:r>
      <w:r>
        <w:t xml:space="preserve"> Верховичи и её околиц. </w:t>
      </w:r>
      <w:r w:rsidR="00E21EA7">
        <w:rPr>
          <w:lang w:val="ru-RU"/>
        </w:rPr>
        <w:t>Сделана попытка в</w:t>
      </w:r>
      <w:r>
        <w:t>ыделен</w:t>
      </w:r>
      <w:r w:rsidR="00E21EA7">
        <w:rPr>
          <w:lang w:val="ru-RU"/>
        </w:rPr>
        <w:t>ия</w:t>
      </w:r>
      <w:r>
        <w:t xml:space="preserve"> </w:t>
      </w:r>
      <w:r w:rsidR="00E21EA7">
        <w:rPr>
          <w:lang w:val="ru-RU"/>
        </w:rPr>
        <w:t>этап</w:t>
      </w:r>
      <w:r w:rsidR="00C37D12">
        <w:rPr>
          <w:lang w:val="ru-RU"/>
        </w:rPr>
        <w:t>ов</w:t>
      </w:r>
      <w:r>
        <w:t xml:space="preserve"> </w:t>
      </w:r>
      <w:r w:rsidR="00E21EA7">
        <w:rPr>
          <w:lang w:val="ru-RU"/>
        </w:rPr>
        <w:t>изучения</w:t>
      </w:r>
      <w:r>
        <w:t xml:space="preserve">, </w:t>
      </w:r>
      <w:r w:rsidR="00E21EA7">
        <w:rPr>
          <w:lang w:val="ru-RU"/>
        </w:rPr>
        <w:t xml:space="preserve">прослежены </w:t>
      </w:r>
      <w:r>
        <w:t>основн</w:t>
      </w:r>
      <w:r w:rsidR="00E21EA7">
        <w:rPr>
          <w:lang w:val="ru-RU"/>
        </w:rPr>
        <w:t>ые</w:t>
      </w:r>
      <w:r>
        <w:t xml:space="preserve"> тенденци</w:t>
      </w:r>
      <w:r w:rsidR="00E21EA7">
        <w:rPr>
          <w:lang w:val="ru-RU"/>
        </w:rPr>
        <w:t>и</w:t>
      </w:r>
      <w:r>
        <w:t xml:space="preserve"> развития исследований на протяжении последних десятилетий.</w:t>
      </w:r>
    </w:p>
    <w:p w14:paraId="3CF2672D" w14:textId="77777777" w:rsidR="00F044A4" w:rsidRDefault="00F044A4" w:rsidP="00F044A4">
      <w:pPr>
        <w:spacing w:after="0" w:line="240" w:lineRule="auto"/>
        <w:ind w:firstLine="567"/>
        <w:jc w:val="both"/>
        <w:rPr>
          <w:rFonts w:ascii="Times New Roman" w:hAnsi="Times New Roman" w:cs="Times New Roman"/>
          <w:sz w:val="20"/>
          <w:szCs w:val="20"/>
        </w:rPr>
      </w:pPr>
    </w:p>
    <w:p w14:paraId="24455356" w14:textId="77777777" w:rsidR="00317108" w:rsidRDefault="005E32D6" w:rsidP="00F044A4">
      <w:pPr>
        <w:pStyle w:val="7"/>
        <w:rPr>
          <w:lang w:val="be-BY"/>
        </w:rPr>
      </w:pPr>
      <w:r>
        <w:t>История</w:t>
      </w:r>
      <w:r w:rsidR="00F044A4">
        <w:t xml:space="preserve"> </w:t>
      </w:r>
      <w:r>
        <w:t xml:space="preserve">деревни </w:t>
      </w:r>
      <w:r w:rsidR="00F044A4">
        <w:t xml:space="preserve">Верховичи и её </w:t>
      </w:r>
      <w:r w:rsidR="00317108">
        <w:t>окрестностей</w:t>
      </w:r>
      <w:r w:rsidR="00F044A4">
        <w:t xml:space="preserve"> </w:t>
      </w:r>
      <w:r w:rsidR="00317108">
        <w:t>представляется на данный момент</w:t>
      </w:r>
      <w:r w:rsidR="00F044A4">
        <w:t xml:space="preserve"> довольно малоизученной</w:t>
      </w:r>
      <w:r w:rsidR="00317108">
        <w:rPr>
          <w:lang w:val="be-BY"/>
        </w:rPr>
        <w:t xml:space="preserve">, несмотря на </w:t>
      </w:r>
      <w:r w:rsidR="00F044A4">
        <w:t xml:space="preserve">то большое количество исторических событий и личностей, которые так или иначе были связаны с этой </w:t>
      </w:r>
      <w:r w:rsidR="00317108">
        <w:rPr>
          <w:lang w:val="be-BY"/>
        </w:rPr>
        <w:t>местностью</w:t>
      </w:r>
      <w:r w:rsidR="00F044A4">
        <w:t xml:space="preserve">. </w:t>
      </w:r>
    </w:p>
    <w:p w14:paraId="3A6CF181" w14:textId="4EE4DD6F" w:rsidR="00F044A4" w:rsidRDefault="00F044A4" w:rsidP="00F044A4">
      <w:pPr>
        <w:pStyle w:val="7"/>
      </w:pPr>
      <w:r>
        <w:t>Так</w:t>
      </w:r>
      <w:r w:rsidR="00317108">
        <w:rPr>
          <w:lang w:val="be-BY"/>
        </w:rPr>
        <w:t>,</w:t>
      </w:r>
      <w:r>
        <w:t xml:space="preserve"> с</w:t>
      </w:r>
      <w:r w:rsidRPr="0078684F">
        <w:t>ело впервые упомянут</w:t>
      </w:r>
      <w:r>
        <w:t>ое</w:t>
      </w:r>
      <w:r w:rsidRPr="0078684F">
        <w:t xml:space="preserve"> в 1559 г. в «Ревизии пущ и переходов звериных в Великом княжестве Литовском», было шляхетским имением в Берестейском повете Берестейского воеводства Великого княжества Литовского. Имение принадлежало Анне Яновне Радзивилл. С тех пор данный регион успел побывать в собственности у</w:t>
      </w:r>
      <w:r w:rsidR="00317108">
        <w:rPr>
          <w:lang w:val="be-BY"/>
        </w:rPr>
        <w:t>разных владельцев</w:t>
      </w:r>
      <w:r w:rsidRPr="0078684F">
        <w:t>. В 1567 г</w:t>
      </w:r>
      <w:r w:rsidR="00317108">
        <w:rPr>
          <w:lang w:val="be-BY"/>
        </w:rPr>
        <w:t>. имение Верховичи</w:t>
      </w:r>
      <w:r w:rsidRPr="0078684F">
        <w:t xml:space="preserve"> сдавалось в аренду Василию Копатю </w:t>
      </w:r>
      <w:r w:rsidR="008A618F">
        <w:t>(в</w:t>
      </w:r>
      <w:r w:rsidRPr="0078684F">
        <w:t xml:space="preserve"> будущем этот род прославился через своего представителя Юзефа Копотя, который принимал участие в восстании 24 марта 1794 г. под руководством Тадеуша Костюшко</w:t>
      </w:r>
      <w:r w:rsidR="008A618F">
        <w:t>)</w:t>
      </w:r>
      <w:r w:rsidRPr="0078684F">
        <w:t xml:space="preserve"> [</w:t>
      </w:r>
      <w:r>
        <w:rPr>
          <w:lang w:val="en-US"/>
        </w:rPr>
        <w:fldChar w:fldCharType="begin"/>
      </w:r>
      <w:r w:rsidRPr="0078684F">
        <w:instrText xml:space="preserve"> </w:instrText>
      </w:r>
      <w:r>
        <w:rPr>
          <w:lang w:val="en-US"/>
        </w:rPr>
        <w:instrText>REF</w:instrText>
      </w:r>
      <w:r w:rsidRPr="0078684F">
        <w:instrText xml:space="preserve"> _</w:instrText>
      </w:r>
      <w:r>
        <w:rPr>
          <w:lang w:val="en-US"/>
        </w:rPr>
        <w:instrText>Ref</w:instrText>
      </w:r>
      <w:r w:rsidRPr="0078684F">
        <w:instrText>181536815 \</w:instrText>
      </w:r>
      <w:r>
        <w:rPr>
          <w:lang w:val="en-US"/>
        </w:rPr>
        <w:instrText>r</w:instrText>
      </w:r>
      <w:r w:rsidRPr="0078684F">
        <w:instrText xml:space="preserve"> \</w:instrText>
      </w:r>
      <w:r>
        <w:rPr>
          <w:lang w:val="en-US"/>
        </w:rPr>
        <w:instrText>h</w:instrText>
      </w:r>
      <w:r w:rsidRPr="0078684F">
        <w:instrText xml:space="preserve"> </w:instrText>
      </w:r>
      <w:r w:rsidRPr="0097408C">
        <w:instrText xml:space="preserve"> \* </w:instrText>
      </w:r>
      <w:r>
        <w:rPr>
          <w:lang w:val="en-US"/>
        </w:rPr>
        <w:instrText>MERGEFORMAT</w:instrText>
      </w:r>
      <w:r w:rsidRPr="0097408C">
        <w:instrText xml:space="preserve"> </w:instrText>
      </w:r>
      <w:r>
        <w:rPr>
          <w:lang w:val="en-US"/>
        </w:rPr>
      </w:r>
      <w:r>
        <w:rPr>
          <w:lang w:val="en-US"/>
        </w:rPr>
        <w:fldChar w:fldCharType="separate"/>
      </w:r>
      <w:r w:rsidR="00761013" w:rsidRPr="00761013">
        <w:t>6</w:t>
      </w:r>
      <w:r>
        <w:rPr>
          <w:lang w:val="en-US"/>
        </w:rPr>
        <w:fldChar w:fldCharType="end"/>
      </w:r>
      <w:r w:rsidRPr="0078684F">
        <w:t>].</w:t>
      </w:r>
      <w:r>
        <w:t xml:space="preserve"> Также</w:t>
      </w:r>
      <w:r w:rsidR="00317108">
        <w:t>,</w:t>
      </w:r>
      <w:r>
        <w:t xml:space="preserve"> в</w:t>
      </w:r>
      <w:r w:rsidRPr="0078684F">
        <w:t xml:space="preserve"> ноябре 1655</w:t>
      </w:r>
      <w:r>
        <w:t> </w:t>
      </w:r>
      <w:r w:rsidRPr="0078684F">
        <w:t>г.</w:t>
      </w:r>
      <w:r w:rsidR="008A618F">
        <w:t>,</w:t>
      </w:r>
      <w:r w:rsidRPr="0078684F">
        <w:t xml:space="preserve"> в рамках русско-польской войны 1654–1667</w:t>
      </w:r>
      <w:r>
        <w:t> </w:t>
      </w:r>
      <w:r w:rsidRPr="0078684F">
        <w:t>гг. неподалёку от Верховичей состоялось сражение между московской армией и армией Речи Посполитой, закончившееся победой москов</w:t>
      </w:r>
      <w:r w:rsidR="00317108">
        <w:t>ских войск</w:t>
      </w:r>
      <w:r w:rsidRPr="0078684F">
        <w:t xml:space="preserve"> [5, с. 35]</w:t>
      </w:r>
      <w:r>
        <w:t>. Д</w:t>
      </w:r>
      <w:r w:rsidRPr="0078684F">
        <w:t xml:space="preserve">анная деревня побывала </w:t>
      </w:r>
      <w:r w:rsidR="008A618F">
        <w:t>во владении</w:t>
      </w:r>
      <w:r w:rsidRPr="0078684F">
        <w:t xml:space="preserve"> Сапег с 1740-х г. </w:t>
      </w:r>
      <w:r w:rsidR="008A618F">
        <w:t>Позже, и</w:t>
      </w:r>
      <w:r w:rsidRPr="0078684F">
        <w:t>мения Сапег в России, включая Верховичи, были конфискованы за участие их в восстании 1830–1831 г. [26].</w:t>
      </w:r>
      <w:r>
        <w:t xml:space="preserve"> </w:t>
      </w:r>
      <w:r w:rsidR="008A618F">
        <w:t xml:space="preserve">Кроме отмеченых событий «больший событий» необходимо внимание обратить и на обычных людей, так называемого «маленького человека» в истории. На протяжении столетий деревня жила своей жизнью, рождались и уходили люди, создавая и сохраняя традиции, формируя своеобразный социально-культурный уклад. </w:t>
      </w:r>
      <w:r>
        <w:t xml:space="preserve">Таким образом </w:t>
      </w:r>
      <w:r w:rsidR="008A618F">
        <w:t xml:space="preserve">исходя из сказанного выше, нам представляется </w:t>
      </w:r>
      <w:r>
        <w:t>важн</w:t>
      </w:r>
      <w:r w:rsidR="008A618F">
        <w:t>ым рассмотреть исторические работы, в которых так или иначе упоминается</w:t>
      </w:r>
      <w:r>
        <w:t xml:space="preserve"> данн</w:t>
      </w:r>
      <w:r w:rsidR="008A618F">
        <w:t>ый</w:t>
      </w:r>
      <w:r>
        <w:t xml:space="preserve"> регион.</w:t>
      </w:r>
    </w:p>
    <w:p w14:paraId="0079B8A2" w14:textId="0442E1F6" w:rsidR="00F044A4" w:rsidRDefault="00F044A4" w:rsidP="00F044A4">
      <w:pPr>
        <w:pStyle w:val="7"/>
      </w:pPr>
      <w:r>
        <w:t xml:space="preserve">В первую очередь </w:t>
      </w:r>
      <w:r w:rsidR="00E94D33">
        <w:t>необходимо</w:t>
      </w:r>
      <w:r>
        <w:t xml:space="preserve"> отметить, что и</w:t>
      </w:r>
      <w:r w:rsidRPr="00793537">
        <w:t>стори</w:t>
      </w:r>
      <w:r w:rsidR="00E44E72">
        <w:t xml:space="preserve">я </w:t>
      </w:r>
      <w:r w:rsidRPr="00793537">
        <w:t xml:space="preserve">деревни Верховичи в основном представлена </w:t>
      </w:r>
      <w:r w:rsidR="00E44E72">
        <w:t xml:space="preserve">в </w:t>
      </w:r>
      <w:r w:rsidRPr="00793537">
        <w:t>различны</w:t>
      </w:r>
      <w:r w:rsidR="00E44E72">
        <w:t>х</w:t>
      </w:r>
      <w:r w:rsidRPr="00793537">
        <w:t xml:space="preserve"> энциклопедически</w:t>
      </w:r>
      <w:r w:rsidR="00E44E72">
        <w:t>х</w:t>
      </w:r>
      <w:r w:rsidRPr="00793537">
        <w:t xml:space="preserve"> </w:t>
      </w:r>
      <w:r w:rsidR="00E94D33">
        <w:t xml:space="preserve">либо обобщающих </w:t>
      </w:r>
      <w:r w:rsidRPr="00793537">
        <w:t>работа</w:t>
      </w:r>
      <w:r w:rsidR="00E44E72">
        <w:t>х</w:t>
      </w:r>
      <w:r w:rsidRPr="00793537">
        <w:t>, посвящёнными Брестской области и Каменецкому району.</w:t>
      </w:r>
      <w:r>
        <w:t xml:space="preserve"> </w:t>
      </w:r>
      <w:r w:rsidR="00E44E72">
        <w:t>М</w:t>
      </w:r>
      <w:r w:rsidRPr="00793537">
        <w:t xml:space="preserve">атериал данных работ затрагивает Верховичи лишь </w:t>
      </w:r>
      <w:r w:rsidR="00E44E72">
        <w:t>частично</w:t>
      </w:r>
      <w:r w:rsidRPr="00793537">
        <w:t xml:space="preserve">, </w:t>
      </w:r>
      <w:r w:rsidR="00E44E72">
        <w:t xml:space="preserve">тем </w:t>
      </w:r>
      <w:r w:rsidR="00E44E72">
        <w:lastRenderedPageBreak/>
        <w:t>не менее</w:t>
      </w:r>
      <w:r w:rsidR="00E94D33">
        <w:t>,</w:t>
      </w:r>
      <w:r w:rsidR="00E44E72">
        <w:t xml:space="preserve"> отражает отдельные аспекты</w:t>
      </w:r>
      <w:r w:rsidRPr="00793537">
        <w:t xml:space="preserve"> истории деревни</w:t>
      </w:r>
      <w:r w:rsidR="00D13870">
        <w:t xml:space="preserve">, </w:t>
      </w:r>
      <w:r w:rsidRPr="00793537">
        <w:t>социально-экономическ</w:t>
      </w:r>
      <w:r w:rsidR="00D13870">
        <w:t>ой жизни</w:t>
      </w:r>
      <w:r w:rsidRPr="00793537">
        <w:t xml:space="preserve"> и краеведческ</w:t>
      </w:r>
      <w:r w:rsidR="00D13870">
        <w:t>ой работы в регионе</w:t>
      </w:r>
      <w:r w:rsidRPr="00793537">
        <w:t>.</w:t>
      </w:r>
    </w:p>
    <w:p w14:paraId="58ACDF5D" w14:textId="07681721" w:rsidR="00F044A4" w:rsidRPr="00D73430" w:rsidRDefault="00D13870" w:rsidP="00F044A4">
      <w:pPr>
        <w:pStyle w:val="7"/>
      </w:pPr>
      <w:r>
        <w:t xml:space="preserve">Рассмотрим основные работы. </w:t>
      </w:r>
      <w:r w:rsidR="00F044A4" w:rsidRPr="00D73430">
        <w:t>В 1971 г. была издана «</w:t>
      </w:r>
      <w:r w:rsidR="00F044A4" w:rsidRPr="00D73430">
        <w:rPr>
          <w:lang w:val="be-BY"/>
        </w:rPr>
        <w:t>Беларуская Савецкая Энцыклапедыя</w:t>
      </w:r>
      <w:r w:rsidR="00F044A4" w:rsidRPr="00D73430">
        <w:t>», в которо</w:t>
      </w:r>
      <w:r>
        <w:t>й размещена статья</w:t>
      </w:r>
      <w:r w:rsidR="00F044A4" w:rsidRPr="00D73430">
        <w:t>, посвящённ</w:t>
      </w:r>
      <w:r>
        <w:t>ая</w:t>
      </w:r>
      <w:r w:rsidR="00F044A4" w:rsidRPr="00D73430">
        <w:t xml:space="preserve"> д. Верховичи. В энциклопедии были отражены особенности географического расположения деревни, а также её демографические показатели и инфраструктура за 1970 г. На тот момент население деревни составляло 663 человека. Из отмеченной инфраструктуры, которой располагала деревня в 1970 г. были представлены: 201 двор, «Прамысловы ўчастак Высокаўскага камбіната будаўнічых матэрыялаў», «Спіртавы завод», «Камбінат Бытавога абслугоўвання», «Сярэдняя школа», «Філіял раённай спартыўнай школы», «Дом Культуры», «Бальніца», «Аптэка», «Ветэрынарны пункт», «Аддзел сувязі», «5 магазінаў» [</w:t>
      </w:r>
      <w:r w:rsidR="00F044A4">
        <w:rPr>
          <w:lang w:val="be-BY"/>
        </w:rPr>
        <w:fldChar w:fldCharType="begin"/>
      </w:r>
      <w:r w:rsidR="00F044A4">
        <w:instrText xml:space="preserve"> REF _Ref181539132 \r \h </w:instrText>
      </w:r>
      <w:r w:rsidR="00F044A4">
        <w:rPr>
          <w:lang w:val="be-BY"/>
        </w:rPr>
        <w:instrText xml:space="preserve"> \* MERGEFORMAT </w:instrText>
      </w:r>
      <w:r w:rsidR="00F044A4">
        <w:rPr>
          <w:lang w:val="be-BY"/>
        </w:rPr>
      </w:r>
      <w:r w:rsidR="00F044A4">
        <w:rPr>
          <w:lang w:val="be-BY"/>
        </w:rPr>
        <w:fldChar w:fldCharType="separate"/>
      </w:r>
      <w:r w:rsidR="00761013">
        <w:t>1</w:t>
      </w:r>
      <w:r w:rsidR="00F044A4">
        <w:rPr>
          <w:lang w:val="be-BY"/>
        </w:rPr>
        <w:fldChar w:fldCharType="end"/>
      </w:r>
      <w:r w:rsidR="00F044A4" w:rsidRPr="00D73430">
        <w:rPr>
          <w:lang w:val="be-BY"/>
        </w:rPr>
        <w:t>, с. 269</w:t>
      </w:r>
      <w:r w:rsidR="00F044A4" w:rsidRPr="00D73430">
        <w:t>].</w:t>
      </w:r>
      <w:r w:rsidR="00F044A4">
        <w:t xml:space="preserve"> </w:t>
      </w:r>
      <w:r>
        <w:t xml:space="preserve">История деревни почти не затрагивается. </w:t>
      </w:r>
      <w:r w:rsidR="00F044A4">
        <w:t xml:space="preserve">В советский период не уделялось особого внимания </w:t>
      </w:r>
      <w:r w:rsidR="00366FDE">
        <w:t xml:space="preserve">краеведческой работе по истории конкретных </w:t>
      </w:r>
      <w:r w:rsidR="00F044A4">
        <w:t>дерев</w:t>
      </w:r>
      <w:r w:rsidR="00366FDE">
        <w:t>ень</w:t>
      </w:r>
      <w:r w:rsidR="00F044A4">
        <w:t>, о чем свидетельствует отсутствие каких-либо серьёзных работ.</w:t>
      </w:r>
    </w:p>
    <w:p w14:paraId="7B01DBAF" w14:textId="783A75A5" w:rsidR="00F044A4" w:rsidRDefault="00366FDE" w:rsidP="00F044A4">
      <w:pPr>
        <w:pStyle w:val="7"/>
      </w:pPr>
      <w:r>
        <w:rPr>
          <w:lang w:val="be-BY"/>
        </w:rPr>
        <w:t xml:space="preserve">Одной из </w:t>
      </w:r>
      <w:r w:rsidR="00E94D33">
        <w:rPr>
          <w:lang w:val="be-BY"/>
        </w:rPr>
        <w:t xml:space="preserve">наиболее </w:t>
      </w:r>
      <w:r>
        <w:rPr>
          <w:lang w:val="be-BY"/>
        </w:rPr>
        <w:t>информативных работ</w:t>
      </w:r>
      <w:r w:rsidR="00F044A4" w:rsidRPr="00D73430">
        <w:t xml:space="preserve"> является книга «Память», посвящённая </w:t>
      </w:r>
      <w:r>
        <w:t>К</w:t>
      </w:r>
      <w:r w:rsidR="00F044A4" w:rsidRPr="00D73430">
        <w:t>аменецкому району, изданная в 1997 г. Первый контекст</w:t>
      </w:r>
      <w:r>
        <w:t>,</w:t>
      </w:r>
      <w:r w:rsidR="00F044A4" w:rsidRPr="00D73430">
        <w:t xml:space="preserve"> </w:t>
      </w:r>
      <w:r>
        <w:t>в рамках которого</w:t>
      </w:r>
      <w:r w:rsidR="00F044A4" w:rsidRPr="00D73430">
        <w:t xml:space="preserve"> </w:t>
      </w:r>
      <w:r>
        <w:t>упоминаются</w:t>
      </w:r>
      <w:r w:rsidR="00F044A4" w:rsidRPr="00D73430">
        <w:t xml:space="preserve"> Верховичи –</w:t>
      </w:r>
      <w:r>
        <w:t xml:space="preserve"> традиции народной деревянной архитектуры</w:t>
      </w:r>
      <w:r w:rsidR="00F044A4" w:rsidRPr="00D73430">
        <w:t xml:space="preserve">. </w:t>
      </w:r>
      <w:r>
        <w:t>Расматривается часовня</w:t>
      </w:r>
      <w:r w:rsidR="00F044A4" w:rsidRPr="00D73430">
        <w:t xml:space="preserve"> в Верховичах, построенн</w:t>
      </w:r>
      <w:r>
        <w:t>ая</w:t>
      </w:r>
      <w:r w:rsidR="00F044A4" w:rsidRPr="00D73430">
        <w:t xml:space="preserve"> в начале </w:t>
      </w:r>
      <w:r>
        <w:t>ХХ</w:t>
      </w:r>
      <w:r w:rsidR="00F044A4" w:rsidRPr="00D73430">
        <w:t> в. и обновлённ</w:t>
      </w:r>
      <w:r>
        <w:t>ая</w:t>
      </w:r>
      <w:r w:rsidR="00F044A4" w:rsidRPr="00D73430">
        <w:t xml:space="preserve"> в 1933 г.</w:t>
      </w:r>
      <w:r>
        <w:t xml:space="preserve"> Ее </w:t>
      </w:r>
      <w:r w:rsidR="00F044A4" w:rsidRPr="00D73430">
        <w:t>относят</w:t>
      </w:r>
      <w:r>
        <w:t xml:space="preserve"> к односрубному храму без колокольни на главном фасаде</w:t>
      </w:r>
      <w:r w:rsidR="00F044A4" w:rsidRPr="00D73430">
        <w:t xml:space="preserve"> [</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xml:space="preserve">, с. 68]. </w:t>
      </w:r>
      <w:r w:rsidR="002A33D4">
        <w:t>Свято-Николаевск</w:t>
      </w:r>
      <w:r w:rsidR="00A1707A">
        <w:t>ую</w:t>
      </w:r>
      <w:r w:rsidR="002A33D4">
        <w:t xml:space="preserve"> церковь,</w:t>
      </w:r>
      <w:r w:rsidR="002A33D4" w:rsidRPr="002A33D4">
        <w:t xml:space="preserve"> </w:t>
      </w:r>
      <w:r w:rsidR="002A33D4" w:rsidRPr="00D73430">
        <w:t>построенн</w:t>
      </w:r>
      <w:r w:rsidR="00A1707A">
        <w:t>ую</w:t>
      </w:r>
      <w:r w:rsidR="002A33D4" w:rsidRPr="00D73430">
        <w:t xml:space="preserve"> впервые в 1816 г., а после перестроенн</w:t>
      </w:r>
      <w:r w:rsidR="00A1707A">
        <w:t>ую</w:t>
      </w:r>
      <w:r w:rsidR="002A33D4" w:rsidRPr="00D73430">
        <w:t xml:space="preserve"> в 1933 г</w:t>
      </w:r>
      <w:r w:rsidR="002A33D4">
        <w:t xml:space="preserve">, авторы относят </w:t>
      </w:r>
      <w:r w:rsidR="004845D4">
        <w:t>к</w:t>
      </w:r>
      <w:r w:rsidR="00F044A4" w:rsidRPr="00D73430">
        <w:t xml:space="preserve">о второму типу храмов, а именно </w:t>
      </w:r>
      <w:r w:rsidR="00A1707A">
        <w:t xml:space="preserve">к трёхсрубным храмам, которые состоят из трех объемов – главного сруба, к которому с двух торцов примыкают </w:t>
      </w:r>
      <w:r w:rsidR="00E60EE8">
        <w:t>срубы многоярусной башни-колокольни и апсида с ризницами</w:t>
      </w:r>
      <w:r w:rsidR="00F044A4" w:rsidRPr="00D73430">
        <w:t xml:space="preserve"> [</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xml:space="preserve">, с. 68]. </w:t>
      </w:r>
      <w:r w:rsidR="00E60EE8">
        <w:rPr>
          <w:lang w:val="be-BY"/>
        </w:rPr>
        <w:t>Приведено описание</w:t>
      </w:r>
      <w:r w:rsidR="00F044A4" w:rsidRPr="00D73430">
        <w:t xml:space="preserve"> внешне</w:t>
      </w:r>
      <w:r w:rsidR="00E60EE8">
        <w:t xml:space="preserve">го и </w:t>
      </w:r>
      <w:r w:rsidR="00F044A4" w:rsidRPr="00D73430">
        <w:t>внутренне</w:t>
      </w:r>
      <w:r w:rsidR="00E60EE8">
        <w:t>го</w:t>
      </w:r>
      <w:r w:rsidR="00F044A4" w:rsidRPr="00D73430">
        <w:t xml:space="preserve"> убранств</w:t>
      </w:r>
      <w:r w:rsidR="00E60EE8">
        <w:t>а</w:t>
      </w:r>
      <w:r w:rsidR="00F044A4" w:rsidRPr="00D73430">
        <w:t xml:space="preserve"> </w:t>
      </w:r>
      <w:r w:rsidR="00E60EE8">
        <w:t xml:space="preserve">храма </w:t>
      </w:r>
      <w:r w:rsidR="00F044A4" w:rsidRPr="00D73430">
        <w:t>[</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с. 74].</w:t>
      </w:r>
    </w:p>
    <w:p w14:paraId="074B1CF1" w14:textId="5BDE2AA3" w:rsidR="004B3C11" w:rsidRPr="00D73430" w:rsidRDefault="00A07512" w:rsidP="004B3C11">
      <w:pPr>
        <w:pStyle w:val="7"/>
      </w:pPr>
      <w:r>
        <w:t xml:space="preserve">История Верховичских храмов представлена также в </w:t>
      </w:r>
      <w:r w:rsidR="0048362B">
        <w:t>монографиях</w:t>
      </w:r>
      <w:r>
        <w:t xml:space="preserve"> А.</w:t>
      </w:r>
      <w:r w:rsidR="0048362B">
        <w:t> </w:t>
      </w:r>
      <w:r>
        <w:t xml:space="preserve">Кулагина и В. Мороза, вышедших уже в </w:t>
      </w:r>
      <w:r>
        <w:rPr>
          <w:lang w:val="be-BY"/>
        </w:rPr>
        <w:t>ХХІ</w:t>
      </w:r>
      <w:r>
        <w:t xml:space="preserve"> в. </w:t>
      </w:r>
      <w:r w:rsidRPr="00541980">
        <w:t>[7</w:t>
      </w:r>
      <w:r>
        <w:t>; 8</w:t>
      </w:r>
      <w:r w:rsidRPr="00541980">
        <w:t>]</w:t>
      </w:r>
      <w:r>
        <w:t xml:space="preserve">. </w:t>
      </w:r>
      <w:r w:rsidR="0048362B">
        <w:t xml:space="preserve">В работе </w:t>
      </w:r>
      <w:r w:rsidRPr="00D73430">
        <w:t>«</w:t>
      </w:r>
      <w:r w:rsidRPr="00D73430">
        <w:rPr>
          <w:lang w:val="be-BY"/>
        </w:rPr>
        <w:t>Праваслаўныя храмы Беларусі</w:t>
      </w:r>
      <w:r w:rsidR="0048362B">
        <w:t xml:space="preserve">» </w:t>
      </w:r>
      <w:r w:rsidRPr="00D73430">
        <w:t>А.М. Кулагин</w:t>
      </w:r>
      <w:r w:rsidR="0048362B">
        <w:t xml:space="preserve"> </w:t>
      </w:r>
      <w:r w:rsidRPr="00D73430">
        <w:t>возвращается к проблематике Николаевской церкви. На основании архивных дел Кулагин пришёл к выводу, что данная церковь, построенная из дерева, изначально была запланирована как костёл, однако в 1866</w:t>
      </w:r>
      <w:r w:rsidR="0048362B">
        <w:t>–</w:t>
      </w:r>
      <w:r w:rsidRPr="00D73430">
        <w:t>1868 гг. он стал православным храмом [</w:t>
      </w:r>
      <w:r>
        <w:fldChar w:fldCharType="begin"/>
      </w:r>
      <w:r>
        <w:instrText xml:space="preserve"> REF _Ref181539456 \r \h  \* MERGEFORMAT </w:instrText>
      </w:r>
      <w:r>
        <w:fldChar w:fldCharType="separate"/>
      </w:r>
      <w:r w:rsidR="00761013">
        <w:t>7</w:t>
      </w:r>
      <w:r>
        <w:fldChar w:fldCharType="end"/>
      </w:r>
      <w:r w:rsidRPr="00D73430">
        <w:t>, с. 106].</w:t>
      </w:r>
      <w:r w:rsidR="0048362B">
        <w:t xml:space="preserve">  Мороз В.В. в своем труде </w:t>
      </w:r>
      <w:r w:rsidR="004B3C11" w:rsidRPr="00D73430">
        <w:t>«</w:t>
      </w:r>
      <w:r w:rsidR="004B3C11" w:rsidRPr="00D73430">
        <w:rPr>
          <w:lang w:val="be-BY"/>
        </w:rPr>
        <w:t>Драўляныя сакральныя помнікі Берасцейшчыны</w:t>
      </w:r>
      <w:r w:rsidR="004B3C11" w:rsidRPr="00D73430">
        <w:t>»</w:t>
      </w:r>
      <w:r w:rsidR="0048362B">
        <w:t xml:space="preserve"> также останавливает свое внимание на</w:t>
      </w:r>
      <w:r w:rsidR="004B3C11" w:rsidRPr="00D73430">
        <w:t xml:space="preserve"> Свято-Николаевской церкви и рассматривает её в контексте</w:t>
      </w:r>
      <w:r w:rsidR="0048362B">
        <w:t xml:space="preserve"> культурных тенденций времени и </w:t>
      </w:r>
      <w:r w:rsidR="00F95E04">
        <w:t xml:space="preserve">развитии новых подходов </w:t>
      </w:r>
      <w:r w:rsidR="004B3C11" w:rsidRPr="00D73430">
        <w:t>архитектурной реконструкции. Так в 1933 г. Свято-Николаевская церковь согласно В. М</w:t>
      </w:r>
      <w:r w:rsidR="00F95E04">
        <w:t>о</w:t>
      </w:r>
      <w:r w:rsidR="004B3C11" w:rsidRPr="00D73430">
        <w:t xml:space="preserve">розу стала примером того, как архитектурная мода и эстетическое увлечение готикой преодолело конфессиональные границы и отразилось в </w:t>
      </w:r>
      <w:r w:rsidR="004B3C11" w:rsidRPr="00D73430">
        <w:lastRenderedPageBreak/>
        <w:t xml:space="preserve">некоторых православных святынях. Новый стиль был не без декораций. В деревянной Свято-Николаевской церкви в Верховичах (1933 г., первоначально здание планировалось как костёл) несоразмерность отдельных частей, гиперболизированных декоративных элементов и другие черты выявляют истинность провинциального стилизаторства. Костёл строился на пожертвования прихожан благодаря заботам ксендза Лукашевича на месте предыдущего деревянного храма. </w:t>
      </w:r>
      <w:r w:rsidR="00F95E04">
        <w:t xml:space="preserve">Автор отмечает, что </w:t>
      </w:r>
      <w:r w:rsidR="004B3C11" w:rsidRPr="00D73430">
        <w:t xml:space="preserve">интерьере </w:t>
      </w:r>
      <w:r w:rsidR="00F95E04">
        <w:t>храма присутствует</w:t>
      </w:r>
      <w:r w:rsidR="004B3C11" w:rsidRPr="00D73430">
        <w:t xml:space="preserve"> неожиданную особенность: обычный плоский потолок молитвенного зала в алтарной части трансформируется в конструкцию, имитирующую звёздный свод [</w:t>
      </w:r>
      <w:r w:rsidR="004B3C11">
        <w:fldChar w:fldCharType="begin"/>
      </w:r>
      <w:r w:rsidR="004B3C11">
        <w:instrText xml:space="preserve"> REF _Ref181539554 \r \h  \* MERGEFORMAT </w:instrText>
      </w:r>
      <w:r w:rsidR="004B3C11">
        <w:fldChar w:fldCharType="separate"/>
      </w:r>
      <w:r w:rsidR="00761013">
        <w:t>8</w:t>
      </w:r>
      <w:r w:rsidR="004B3C11">
        <w:fldChar w:fldCharType="end"/>
      </w:r>
      <w:r w:rsidR="004B3C11" w:rsidRPr="00D73430">
        <w:t>, с. 343].</w:t>
      </w:r>
      <w:bookmarkStart w:id="49" w:name="_Hlk181537501"/>
    </w:p>
    <w:bookmarkEnd w:id="49"/>
    <w:p w14:paraId="58C65508" w14:textId="77DF23A5" w:rsidR="00F95E04" w:rsidRDefault="00F044A4" w:rsidP="00F044A4">
      <w:pPr>
        <w:pStyle w:val="7"/>
      </w:pPr>
      <w:r w:rsidRPr="00D73430">
        <w:t xml:space="preserve">В книге «Память» </w:t>
      </w:r>
      <w:r w:rsidR="001512CF">
        <w:t>рассматриваются</w:t>
      </w:r>
      <w:r w:rsidRPr="00D73430">
        <w:t xml:space="preserve"> исторические события, связанные с д. Верховичи. </w:t>
      </w:r>
      <w:r w:rsidR="001512CF">
        <w:t>П</w:t>
      </w:r>
      <w:r w:rsidR="001512CF" w:rsidRPr="00D73430">
        <w:t xml:space="preserve">риводится краткая история того, что происходило до </w:t>
      </w:r>
      <w:r w:rsidR="001512CF">
        <w:rPr>
          <w:lang w:val="en-US"/>
        </w:rPr>
        <w:t>XVII</w:t>
      </w:r>
      <w:r w:rsidR="001512CF" w:rsidRPr="00D73430">
        <w:t> в. на территории, где сейчас располагается деревня Изначально на этом месте среди леса стоял маленький домик лесника, который назывался «</w:t>
      </w:r>
      <w:r w:rsidR="001512CF" w:rsidRPr="00D73430">
        <w:rPr>
          <w:lang w:val="be-BY"/>
        </w:rPr>
        <w:t>Вярхі</w:t>
      </w:r>
      <w:r w:rsidR="001512CF" w:rsidRPr="00D73430">
        <w:t>»</w:t>
      </w:r>
      <w:r w:rsidR="001512CF" w:rsidRPr="00D73430">
        <w:rPr>
          <w:lang w:val="en-US"/>
        </w:rPr>
        <w:t> </w:t>
      </w:r>
      <w:r w:rsidR="001512CF" w:rsidRPr="00D73430">
        <w:t>[</w:t>
      </w:r>
      <w:r w:rsidR="001512CF">
        <w:fldChar w:fldCharType="begin"/>
      </w:r>
      <w:r w:rsidR="001512CF">
        <w:instrText xml:space="preserve"> REF _Ref181539146 \r \h  \* MERGEFORMAT </w:instrText>
      </w:r>
      <w:r w:rsidR="001512CF">
        <w:fldChar w:fldCharType="separate"/>
      </w:r>
      <w:r w:rsidR="00761013">
        <w:t>12</w:t>
      </w:r>
      <w:r w:rsidR="001512CF">
        <w:fldChar w:fldCharType="end"/>
      </w:r>
      <w:r w:rsidR="001512CF">
        <w:t xml:space="preserve">, </w:t>
      </w:r>
      <w:r w:rsidR="001512CF" w:rsidRPr="00D73430">
        <w:t xml:space="preserve">с. 104]. </w:t>
      </w:r>
      <w:r w:rsidR="001512CF">
        <w:t xml:space="preserve">Одним из событий, которые оставили после себя исторические свидетельства, </w:t>
      </w:r>
      <w:r w:rsidRPr="00D73430">
        <w:t>является Русско-польская война 1654</w:t>
      </w:r>
      <w:r w:rsidR="00E60EE8">
        <w:t>–</w:t>
      </w:r>
      <w:r w:rsidRPr="00D73430">
        <w:t>1667 гг.: «</w:t>
      </w:r>
      <w:r w:rsidRPr="00D73430">
        <w:rPr>
          <w:lang w:val="be-BY"/>
        </w:rPr>
        <w:t>У лістападзе 1655 г. у баі ля в. Вярховічы, што на адлегласці каля 20 км у паўночна-заходнім напрамку ад Камянца, рускія войскі ўшчэнт разграмілі польскага гетмана Паўла Сапегу і асадзілі г. Брэст</w:t>
      </w:r>
      <w:r w:rsidRPr="00D73430">
        <w:t>» [</w:t>
      </w:r>
      <w:r>
        <w:fldChar w:fldCharType="begin"/>
      </w:r>
      <w:r>
        <w:instrText xml:space="preserve"> REF _Ref181539146 \r \h  \* MERGEFORMAT </w:instrText>
      </w:r>
      <w:r>
        <w:fldChar w:fldCharType="separate"/>
      </w:r>
      <w:r w:rsidR="00761013">
        <w:t>12</w:t>
      </w:r>
      <w:r>
        <w:fldChar w:fldCharType="end"/>
      </w:r>
      <w:r w:rsidRPr="00D73430">
        <w:t xml:space="preserve">, с. 101]. </w:t>
      </w:r>
    </w:p>
    <w:p w14:paraId="4CD3F213" w14:textId="4C0A0D9A" w:rsidR="006048E7" w:rsidRPr="00D73430" w:rsidRDefault="006048E7" w:rsidP="006048E7">
      <w:pPr>
        <w:pStyle w:val="7"/>
      </w:pPr>
      <w:r>
        <w:rPr>
          <w:lang w:val="be-BY"/>
        </w:rPr>
        <w:t xml:space="preserve">Верховичи в контексте военных действий 1654–1667 гг. </w:t>
      </w:r>
      <w:r w:rsidR="001512CF">
        <w:rPr>
          <w:lang w:val="be-BY"/>
        </w:rPr>
        <w:t xml:space="preserve">ещё упоминаются в </w:t>
      </w:r>
      <w:r w:rsidRPr="00D73430">
        <w:rPr>
          <w:lang w:val="be-BY"/>
        </w:rPr>
        <w:t>работ</w:t>
      </w:r>
      <w:r w:rsidR="001512CF">
        <w:rPr>
          <w:lang w:val="be-BY"/>
        </w:rPr>
        <w:t>е</w:t>
      </w:r>
      <w:r w:rsidRPr="00D73430">
        <w:rPr>
          <w:lang w:val="be-BY"/>
        </w:rPr>
        <w:t xml:space="preserve"> историка О.А. Курбатова </w:t>
      </w:r>
      <w:r w:rsidRPr="00D73430">
        <w:t>«Документы о походе Новгородского полка на Брест и</w:t>
      </w:r>
      <w:r w:rsidR="001512CF">
        <w:t xml:space="preserve"> битве при Верховичах. 1655 г.». </w:t>
      </w:r>
      <w:r w:rsidRPr="00D73430">
        <w:t>В данной работе содержится анализ документов, посвящённых событиям 1655 г., которые происходили в околицах д. Верховичи [</w:t>
      </w:r>
      <w:r>
        <w:rPr>
          <w:lang w:val="en-US"/>
        </w:rPr>
        <w:fldChar w:fldCharType="begin"/>
      </w:r>
      <w:r>
        <w:instrText xml:space="preserve"> REF _Ref181539431 \r \h </w:instrText>
      </w:r>
      <w:r w:rsidRPr="00541980">
        <w:instrText xml:space="preserve"> \* </w:instrText>
      </w:r>
      <w:r>
        <w:rPr>
          <w:lang w:val="en-US"/>
        </w:rPr>
        <w:instrText>MERGEFORMAT</w:instrText>
      </w:r>
      <w:r w:rsidRPr="00541980">
        <w:instrText xml:space="preserve"> </w:instrText>
      </w:r>
      <w:r>
        <w:rPr>
          <w:lang w:val="en-US"/>
        </w:rPr>
      </w:r>
      <w:r>
        <w:rPr>
          <w:lang w:val="en-US"/>
        </w:rPr>
        <w:fldChar w:fldCharType="separate"/>
      </w:r>
      <w:r w:rsidR="00761013">
        <w:t>4</w:t>
      </w:r>
      <w:r>
        <w:rPr>
          <w:lang w:val="en-US"/>
        </w:rPr>
        <w:fldChar w:fldCharType="end"/>
      </w:r>
      <w:r w:rsidRPr="00D73430">
        <w:t>].</w:t>
      </w:r>
    </w:p>
    <w:p w14:paraId="645BB05C" w14:textId="74A41F40" w:rsidR="00F95E04" w:rsidRDefault="006A49E6" w:rsidP="00F044A4">
      <w:pPr>
        <w:pStyle w:val="7"/>
      </w:pPr>
      <w:r>
        <w:t xml:space="preserve">Важной вехой в исследовании истории д. Верховичи </w:t>
      </w:r>
      <w:r w:rsidRPr="006A49E6">
        <w:t xml:space="preserve">является </w:t>
      </w:r>
      <w:r>
        <w:t>энциклопедическое по сути издание</w:t>
      </w:r>
      <w:r w:rsidRPr="006A49E6">
        <w:t xml:space="preserve"> «Старинные усадьбы Берестейщины»</w:t>
      </w:r>
      <w:r>
        <w:t xml:space="preserve"> </w:t>
      </w:r>
      <w:r w:rsidRPr="006A49E6">
        <w:t>А.Т. Федорука.</w:t>
      </w:r>
      <w:r>
        <w:t xml:space="preserve"> А</w:t>
      </w:r>
      <w:r w:rsidRPr="006A49E6">
        <w:t>втор даёт описание истории д. Верховичи</w:t>
      </w:r>
      <w:r>
        <w:t>,</w:t>
      </w:r>
      <w:r w:rsidRPr="006A49E6">
        <w:t xml:space="preserve"> параллельно описывая социально-экономические особенности Верховичского двора в разные периоды его развития</w:t>
      </w:r>
      <w:r>
        <w:t>,</w:t>
      </w:r>
      <w:r w:rsidRPr="006A49E6">
        <w:t xml:space="preserve"> </w:t>
      </w:r>
      <w:r>
        <w:t>опираясь</w:t>
      </w:r>
      <w:r w:rsidRPr="006A49E6">
        <w:t xml:space="preserve"> на различные и</w:t>
      </w:r>
      <w:r w:rsidR="00BA0E66">
        <w:t>сточники. Так в его работе пред</w:t>
      </w:r>
      <w:r w:rsidRPr="006A49E6">
        <w:t>ставлено описание инвентаря Верховичского двора за 1577 г. [15, с. 528].</w:t>
      </w:r>
    </w:p>
    <w:p w14:paraId="09785C46" w14:textId="0B7FA1D7" w:rsidR="006A49E6" w:rsidRDefault="006A49E6" w:rsidP="006A49E6">
      <w:pPr>
        <w:pStyle w:val="7"/>
      </w:pPr>
      <w:r>
        <w:t xml:space="preserve">Краткая история деревни приведена </w:t>
      </w:r>
      <w:r w:rsidRPr="00D73430">
        <w:t>Л.М. Нестерчук</w:t>
      </w:r>
      <w:r>
        <w:t>ом</w:t>
      </w:r>
      <w:r w:rsidRPr="00D73430">
        <w:t xml:space="preserve"> в его </w:t>
      </w:r>
      <w:r>
        <w:t xml:space="preserve">труде </w:t>
      </w:r>
      <w:r w:rsidRPr="00D73430">
        <w:t>«</w:t>
      </w:r>
      <w:r w:rsidRPr="00D73430">
        <w:rPr>
          <w:lang w:val="be-BY"/>
        </w:rPr>
        <w:t xml:space="preserve">Замкі, палацы, паркі Берасцейшчыны </w:t>
      </w:r>
      <w:r w:rsidRPr="00D73430">
        <w:rPr>
          <w:lang w:val="en-US"/>
        </w:rPr>
        <w:t>X</w:t>
      </w:r>
      <w:r w:rsidRPr="00D73430">
        <w:t>–</w:t>
      </w:r>
      <w:r w:rsidRPr="00D73430">
        <w:rPr>
          <w:lang w:val="en-US"/>
        </w:rPr>
        <w:t>XX</w:t>
      </w:r>
      <w:r w:rsidRPr="00D73430">
        <w:t xml:space="preserve"> </w:t>
      </w:r>
      <w:r w:rsidRPr="00D73430">
        <w:rPr>
          <w:lang w:val="be-BY"/>
        </w:rPr>
        <w:t>стагоддзяў</w:t>
      </w:r>
      <w:r>
        <w:t>» в двух небольших абзацах.</w:t>
      </w:r>
      <w:r w:rsidRPr="00D73430">
        <w:t xml:space="preserve"> </w:t>
      </w:r>
      <w:r w:rsidR="00BA0E66">
        <w:t>Т</w:t>
      </w:r>
      <w:r w:rsidRPr="00D73430">
        <w:t>акже</w:t>
      </w:r>
      <w:r w:rsidR="00BA0E66">
        <w:t xml:space="preserve"> представлено </w:t>
      </w:r>
      <w:r w:rsidRPr="00D73430">
        <w:t>его мнение насчёт «</w:t>
      </w:r>
      <w:r w:rsidRPr="00D73430">
        <w:rPr>
          <w:lang w:val="be-BY"/>
        </w:rPr>
        <w:t>будынка бровара</w:t>
      </w:r>
      <w:r w:rsidRPr="00D73430">
        <w:t xml:space="preserve">», который был построен Ротами ещё в 1908 г. и </w:t>
      </w:r>
      <w:r w:rsidR="00BA0E66">
        <w:t>является</w:t>
      </w:r>
      <w:r w:rsidRPr="00D73430">
        <w:t xml:space="preserve"> единственн</w:t>
      </w:r>
      <w:r w:rsidR="00BA0E66">
        <w:t>ым</w:t>
      </w:r>
      <w:r w:rsidRPr="00D73430">
        <w:t xml:space="preserve"> оставш</w:t>
      </w:r>
      <w:r w:rsidR="00BA0E66">
        <w:t>им</w:t>
      </w:r>
      <w:r w:rsidRPr="00D73430">
        <w:t>ся здани</w:t>
      </w:r>
      <w:r w:rsidR="00BA0E66">
        <w:t>ем</w:t>
      </w:r>
      <w:r w:rsidRPr="00D73430">
        <w:t xml:space="preserve"> от дворцово-паркового ансамбля в Верховичах.</w:t>
      </w:r>
      <w:r w:rsidR="00BA0E66">
        <w:t xml:space="preserve"> </w:t>
      </w:r>
      <w:r w:rsidRPr="00D73430">
        <w:t>Нестерчук</w:t>
      </w:r>
      <w:r w:rsidR="00BA0E66">
        <w:t> </w:t>
      </w:r>
      <w:r w:rsidR="00BA0E66" w:rsidRPr="00D73430">
        <w:t>Л.М.</w:t>
      </w:r>
      <w:r w:rsidRPr="00D73430">
        <w:t xml:space="preserve"> считает, что данное здание должно быть взято под охрану государства как историко-промышленный объект [</w:t>
      </w:r>
      <w:r>
        <w:fldChar w:fldCharType="begin"/>
      </w:r>
      <w:r>
        <w:instrText xml:space="preserve"> REF _Ref181539361 \r \h  \* MERGEFORMAT </w:instrText>
      </w:r>
      <w:r>
        <w:fldChar w:fldCharType="separate"/>
      </w:r>
      <w:r w:rsidR="00761013">
        <w:t>11</w:t>
      </w:r>
      <w:r>
        <w:fldChar w:fldCharType="end"/>
      </w:r>
      <w:r w:rsidRPr="00D73430">
        <w:t>, с. 173].</w:t>
      </w:r>
    </w:p>
    <w:p w14:paraId="194C23C9" w14:textId="7CF21568" w:rsidR="00BA0E66" w:rsidRPr="00D73430" w:rsidRDefault="00BA0E66" w:rsidP="00BA0E66">
      <w:pPr>
        <w:pStyle w:val="7"/>
      </w:pPr>
      <w:r w:rsidRPr="00D73430">
        <w:t>Мешечко Е.Н. упоминает д. Верховичи как населённый пункт</w:t>
      </w:r>
      <w:r>
        <w:t>,</w:t>
      </w:r>
      <w:r w:rsidRPr="00D73430">
        <w:t xml:space="preserve"> принадлежащий к типу тех пунктов, которым названия</w:t>
      </w:r>
      <w:r>
        <w:t xml:space="preserve"> были</w:t>
      </w:r>
      <w:r w:rsidRPr="00D73430">
        <w:t xml:space="preserve"> дан</w:t>
      </w:r>
      <w:r>
        <w:t xml:space="preserve">ы </w:t>
      </w:r>
      <w:r w:rsidRPr="00D73430">
        <w:t xml:space="preserve">по </w:t>
      </w:r>
      <w:r w:rsidRPr="00D73430">
        <w:lastRenderedPageBreak/>
        <w:t>фамилии первоначальных жителей села или землевладельцев, по имени или званию владельца поселения [</w:t>
      </w:r>
      <w:r>
        <w:rPr>
          <w:lang w:val="be-BY"/>
        </w:rPr>
        <w:fldChar w:fldCharType="begin"/>
      </w:r>
      <w:r>
        <w:instrText xml:space="preserve"> REF _Ref181539442 \r \h </w:instrText>
      </w:r>
      <w:r>
        <w:rPr>
          <w:lang w:val="be-BY"/>
        </w:rPr>
        <w:instrText xml:space="preserve"> \* MERGEFORMAT </w:instrText>
      </w:r>
      <w:r>
        <w:rPr>
          <w:lang w:val="be-BY"/>
        </w:rPr>
      </w:r>
      <w:r>
        <w:rPr>
          <w:lang w:val="be-BY"/>
        </w:rPr>
        <w:fldChar w:fldCharType="separate"/>
      </w:r>
      <w:r w:rsidR="00761013">
        <w:t>9</w:t>
      </w:r>
      <w:r>
        <w:rPr>
          <w:lang w:val="be-BY"/>
        </w:rPr>
        <w:fldChar w:fldCharType="end"/>
      </w:r>
      <w:r>
        <w:rPr>
          <w:lang w:val="be-BY"/>
        </w:rPr>
        <w:t xml:space="preserve">, </w:t>
      </w:r>
      <w:r w:rsidRPr="00D73430">
        <w:rPr>
          <w:lang w:val="be-BY"/>
        </w:rPr>
        <w:t>с. 24</w:t>
      </w:r>
      <w:r w:rsidRPr="00D73430">
        <w:t>].</w:t>
      </w:r>
    </w:p>
    <w:p w14:paraId="4E718799" w14:textId="3B9D7884" w:rsidR="00BA0E66" w:rsidRDefault="00BA0E66" w:rsidP="00BA0E66">
      <w:pPr>
        <w:pStyle w:val="7"/>
      </w:pPr>
      <w:r w:rsidRPr="00D73430">
        <w:t xml:space="preserve">Следует отметить, что </w:t>
      </w:r>
      <w:r>
        <w:t>в упоминаемой выше коллективной монографии «Память»</w:t>
      </w:r>
      <w:r w:rsidRPr="00D73430">
        <w:t xml:space="preserve"> </w:t>
      </w:r>
      <w:r>
        <w:t>прослежено</w:t>
      </w:r>
      <w:r w:rsidRPr="00D73430">
        <w:t xml:space="preserve"> административно-территориальн</w:t>
      </w:r>
      <w:r>
        <w:t>ое</w:t>
      </w:r>
      <w:r w:rsidRPr="00D73430">
        <w:t xml:space="preserve"> делени</w:t>
      </w:r>
      <w:r>
        <w:t>е интересующей нас местности</w:t>
      </w:r>
      <w:r w:rsidRPr="00D73430">
        <w:t xml:space="preserve"> в промежут</w:t>
      </w:r>
      <w:r>
        <w:t>ке</w:t>
      </w:r>
      <w:r w:rsidRPr="00D73430">
        <w:t xml:space="preserve"> от отмены крепостного права до польской оккупации. Так</w:t>
      </w:r>
      <w:r>
        <w:t>,</w:t>
      </w:r>
      <w:r w:rsidRPr="00D73430">
        <w:t xml:space="preserve"> </w:t>
      </w:r>
      <w:r>
        <w:t>согласно ему,</w:t>
      </w:r>
      <w:r w:rsidRPr="00D73430">
        <w:t xml:space="preserve"> Верховичи носили статус местечка, «</w:t>
      </w:r>
      <w:r w:rsidRPr="00D73430">
        <w:rPr>
          <w:lang w:val="be-BY"/>
        </w:rPr>
        <w:t>Вярховіцкай часткі</w:t>
      </w:r>
      <w:r w:rsidRPr="00D73430">
        <w:t>» Брестского повета [</w:t>
      </w:r>
      <w:r>
        <w:fldChar w:fldCharType="begin"/>
      </w:r>
      <w:r>
        <w:instrText xml:space="preserve"> REF _Ref181539146 \r \h  \* MERGEFORMAT </w:instrText>
      </w:r>
      <w:r>
        <w:fldChar w:fldCharType="separate"/>
      </w:r>
      <w:r w:rsidR="00761013">
        <w:t>12</w:t>
      </w:r>
      <w:r>
        <w:fldChar w:fldCharType="end"/>
      </w:r>
      <w:r>
        <w:t xml:space="preserve">, </w:t>
      </w:r>
      <w:r w:rsidRPr="00D73430">
        <w:t xml:space="preserve">с. 121]. </w:t>
      </w:r>
    </w:p>
    <w:p w14:paraId="68013D14" w14:textId="574AC058" w:rsidR="00BA0E66" w:rsidRPr="00D73430" w:rsidRDefault="00BA0E66" w:rsidP="00BA0E66">
      <w:pPr>
        <w:pStyle w:val="7"/>
      </w:pPr>
      <w:r>
        <w:t>А</w:t>
      </w:r>
      <w:r w:rsidRPr="00D73430">
        <w:t>дминистративно-территориально</w:t>
      </w:r>
      <w:r>
        <w:t>мое</w:t>
      </w:r>
      <w:r w:rsidRPr="00D73430">
        <w:t xml:space="preserve"> устройств</w:t>
      </w:r>
      <w:r>
        <w:t>о</w:t>
      </w:r>
      <w:r w:rsidRPr="00D73430">
        <w:t xml:space="preserve"> </w:t>
      </w:r>
      <w:r>
        <w:t xml:space="preserve">региона рассматривается </w:t>
      </w:r>
      <w:r w:rsidRPr="00D73430">
        <w:t xml:space="preserve">Е.И. Пашкович </w:t>
      </w:r>
      <w:r>
        <w:t xml:space="preserve">в контексте </w:t>
      </w:r>
      <w:r w:rsidRPr="00D73430">
        <w:t>административн</w:t>
      </w:r>
      <w:r>
        <w:t>ой</w:t>
      </w:r>
      <w:r w:rsidRPr="00D73430">
        <w:t xml:space="preserve"> систем</w:t>
      </w:r>
      <w:r>
        <w:t>ы</w:t>
      </w:r>
      <w:r w:rsidRPr="00D73430">
        <w:t xml:space="preserve">, которая выстраивалась на селе после присоединения Западной Беларуси к Польше. </w:t>
      </w:r>
      <w:r>
        <w:t>В</w:t>
      </w:r>
      <w:r w:rsidRPr="00D73430">
        <w:t>нимание</w:t>
      </w:r>
      <w:r>
        <w:t xml:space="preserve"> автора работы</w:t>
      </w:r>
      <w:r w:rsidRPr="00D73430">
        <w:t xml:space="preserve"> уделяется наиболее распространенным</w:t>
      </w:r>
      <w:r>
        <w:t xml:space="preserve"> на тот момент</w:t>
      </w:r>
      <w:r w:rsidRPr="00D73430">
        <w:t xml:space="preserve"> типам сельских поселений в Полесском воеводстве. На основании результатов переписи 1919 г. и 1921 г. проводится анализ демографического состояния и этноконфессиональной стр</w:t>
      </w:r>
      <w:r w:rsidR="000B5E7C">
        <w:t>уктуры сельских поселений. Так п</w:t>
      </w:r>
      <w:r w:rsidRPr="00D73430">
        <w:t>ерепись 1921 г. показала, что в Полесском воеводстве (без учёта Камень-Каширского и Сарненского поветов) 59,5 % жителей заявили о своей национальности как белорусской, 27,1 % – польской, русской – 0,5 %, евреи – 11,1 %, другие – 1,8 %. 10 833 человека или 1,6 % от общей численности населения этих территорий были отнесены к русинам. В Брестском повете русины проживали в гминах Домачево, Мотыкалы, Олтуш, Ратайчицы, Верховичи, Турна [</w:t>
      </w:r>
      <w:r>
        <w:rPr>
          <w:lang w:val="en-US"/>
        </w:rPr>
        <w:fldChar w:fldCharType="begin"/>
      </w:r>
      <w:r>
        <w:instrText xml:space="preserve"> REF _Ref181539570 \r \h </w:instrText>
      </w:r>
      <w:r w:rsidRPr="00541980">
        <w:instrText xml:space="preserve"> \* </w:instrText>
      </w:r>
      <w:r>
        <w:rPr>
          <w:lang w:val="en-US"/>
        </w:rPr>
        <w:instrText>MERGEFORMAT</w:instrText>
      </w:r>
      <w:r w:rsidRPr="00541980">
        <w:instrText xml:space="preserve"> </w:instrText>
      </w:r>
      <w:r>
        <w:rPr>
          <w:lang w:val="en-US"/>
        </w:rPr>
      </w:r>
      <w:r>
        <w:rPr>
          <w:lang w:val="en-US"/>
        </w:rPr>
        <w:fldChar w:fldCharType="separate"/>
      </w:r>
      <w:r w:rsidR="00761013">
        <w:t>13</w:t>
      </w:r>
      <w:r>
        <w:rPr>
          <w:lang w:val="en-US"/>
        </w:rPr>
        <w:fldChar w:fldCharType="end"/>
      </w:r>
      <w:r w:rsidRPr="00D73430">
        <w:t>].</w:t>
      </w:r>
    </w:p>
    <w:p w14:paraId="19058E25" w14:textId="4ED716F2" w:rsidR="00BA0E66" w:rsidRPr="00D73430" w:rsidRDefault="0006346B" w:rsidP="00BA0E66">
      <w:pPr>
        <w:pStyle w:val="7"/>
      </w:pPr>
      <w:r>
        <w:t>Так</w:t>
      </w:r>
      <w:r w:rsidR="00BA0E66" w:rsidRPr="00D73430">
        <w:t>же следует отметить энциклопедию «</w:t>
      </w:r>
      <w:r w:rsidR="00BA0E66" w:rsidRPr="00D73430">
        <w:rPr>
          <w:lang w:val="be-BY"/>
        </w:rPr>
        <w:t>Гарады і вёскі Беларусі</w:t>
      </w:r>
      <w:r w:rsidR="00BA0E66" w:rsidRPr="00D73430">
        <w:t xml:space="preserve">», изданную в 2007 г. В ней У.У. Бянько, занимавшийся разделом, посвящённым Каменецкому району, приводит довольно краткую историю д. Верховичи, повторяя, по сути, многое из прошлых работ других авторов, однако большой акцент в его работе ставится на демографию региона и на территориальные </w:t>
      </w:r>
      <w:r w:rsidR="000B5E7C">
        <w:t>границы</w:t>
      </w:r>
      <w:r w:rsidR="00BA0E66" w:rsidRPr="00D73430">
        <w:t xml:space="preserve"> </w:t>
      </w:r>
      <w:r w:rsidR="000B5E7C">
        <w:t>населенного п</w:t>
      </w:r>
      <w:r>
        <w:t>ункта и региона</w:t>
      </w:r>
      <w:r w:rsidR="00BA0E66" w:rsidRPr="00D73430">
        <w:t xml:space="preserve"> в разные исторические периоды [</w:t>
      </w:r>
      <w:r w:rsidR="00BA0E66">
        <w:rPr>
          <w:lang w:val="be-BY"/>
        </w:rPr>
        <w:fldChar w:fldCharType="begin"/>
      </w:r>
      <w:r w:rsidR="00BA0E66">
        <w:instrText xml:space="preserve"> REF _Ref181539472 \r \h </w:instrText>
      </w:r>
      <w:r w:rsidR="00BA0E66">
        <w:rPr>
          <w:lang w:val="be-BY"/>
        </w:rPr>
        <w:instrText xml:space="preserve"> \* MERGEFORMAT </w:instrText>
      </w:r>
      <w:r w:rsidR="00BA0E66">
        <w:rPr>
          <w:lang w:val="be-BY"/>
        </w:rPr>
      </w:r>
      <w:r w:rsidR="00BA0E66">
        <w:rPr>
          <w:lang w:val="be-BY"/>
        </w:rPr>
        <w:fldChar w:fldCharType="separate"/>
      </w:r>
      <w:r w:rsidR="00761013">
        <w:t>3</w:t>
      </w:r>
      <w:r w:rsidR="00BA0E66">
        <w:rPr>
          <w:lang w:val="be-BY"/>
        </w:rPr>
        <w:fldChar w:fldCharType="end"/>
      </w:r>
      <w:r w:rsidR="00BA0E66" w:rsidRPr="00D73430">
        <w:rPr>
          <w:lang w:val="be-BY"/>
        </w:rPr>
        <w:t>, с. 35</w:t>
      </w:r>
      <w:r w:rsidR="00BA0E66" w:rsidRPr="00D73430">
        <w:t>].</w:t>
      </w:r>
    </w:p>
    <w:p w14:paraId="052AD6CB" w14:textId="34D472F9" w:rsidR="00BA0E66" w:rsidRPr="00D73430" w:rsidRDefault="0006346B" w:rsidP="00BA0E66">
      <w:pPr>
        <w:pStyle w:val="7"/>
      </w:pPr>
      <w:r>
        <w:t>Работа каменецкого краеведа</w:t>
      </w:r>
      <w:r w:rsidR="00BA0E66" w:rsidRPr="00D73430">
        <w:t xml:space="preserve"> Г.С. Мусевича «Народ, который жил среди нас», изданная в 2009 г. </w:t>
      </w:r>
      <w:r w:rsidR="00145F8E">
        <w:t>посвящена</w:t>
      </w:r>
      <w:r w:rsidR="00BA0E66" w:rsidRPr="00D73430">
        <w:t xml:space="preserve"> проблем</w:t>
      </w:r>
      <w:r w:rsidR="00145F8E">
        <w:t>е</w:t>
      </w:r>
      <w:r w:rsidR="00BA0E66" w:rsidRPr="00D73430">
        <w:t xml:space="preserve"> </w:t>
      </w:r>
      <w:r>
        <w:t>еврейской общины</w:t>
      </w:r>
      <w:r w:rsidR="00BA0E66" w:rsidRPr="00D73430">
        <w:t xml:space="preserve"> на территории Каменетчины. </w:t>
      </w:r>
      <w:r w:rsidR="00145F8E">
        <w:t>При рассмотрении</w:t>
      </w:r>
      <w:r w:rsidR="00BA0E66" w:rsidRPr="00D73430">
        <w:t xml:space="preserve"> некоторых </w:t>
      </w:r>
      <w:r w:rsidR="00145F8E">
        <w:t>её аспектов, например, создания системы образовательных учреждений,</w:t>
      </w:r>
      <w:r w:rsidR="00BA0E66" w:rsidRPr="00D73430">
        <w:t xml:space="preserve"> автор не обходит стороной и д. Верховичи. Так</w:t>
      </w:r>
      <w:r w:rsidR="00145F8E">
        <w:t>, упоминается, что</w:t>
      </w:r>
      <w:r w:rsidR="00BA0E66" w:rsidRPr="00D73430">
        <w:t xml:space="preserve"> в д. Верховичи была двухклассная частная школа «Мидраш», которая располагалась в здании синагоги [</w:t>
      </w:r>
      <w:r w:rsidR="00BA0E66">
        <w:fldChar w:fldCharType="begin"/>
      </w:r>
      <w:r w:rsidR="00BA0E66">
        <w:instrText xml:space="preserve"> REF _Ref181539483 \r \h  \* MERGEFORMAT </w:instrText>
      </w:r>
      <w:r w:rsidR="00BA0E66">
        <w:fldChar w:fldCharType="separate"/>
      </w:r>
      <w:r w:rsidR="00761013">
        <w:t>10</w:t>
      </w:r>
      <w:r w:rsidR="00BA0E66">
        <w:fldChar w:fldCharType="end"/>
      </w:r>
      <w:r w:rsidR="00145F8E">
        <w:t>, с. 22]. В</w:t>
      </w:r>
      <w:r w:rsidR="00BA0E66" w:rsidRPr="00D73430">
        <w:t xml:space="preserve"> работе</w:t>
      </w:r>
      <w:r w:rsidR="00145F8E">
        <w:t xml:space="preserve"> Г.</w:t>
      </w:r>
      <w:r w:rsidR="00BA0E66" w:rsidRPr="00D73430">
        <w:t xml:space="preserve"> Мусевича предоставлена информация о проживавших </w:t>
      </w:r>
      <w:r w:rsidR="00145F8E">
        <w:t xml:space="preserve">в </w:t>
      </w:r>
      <w:r w:rsidR="00BA0E66" w:rsidRPr="00D73430">
        <w:t>д. Верховичи евре</w:t>
      </w:r>
      <w:r w:rsidR="00145F8E">
        <w:t>ях: н</w:t>
      </w:r>
      <w:r w:rsidR="00BA0E66" w:rsidRPr="00D73430">
        <w:t xml:space="preserve">а 1939 г. </w:t>
      </w:r>
      <w:r w:rsidR="00145F8E">
        <w:t xml:space="preserve">их </w:t>
      </w:r>
      <w:r w:rsidR="00BA0E66" w:rsidRPr="00D73430">
        <w:t>количество составляло 79 человек [</w:t>
      </w:r>
      <w:r w:rsidR="00BA0E66">
        <w:fldChar w:fldCharType="begin"/>
      </w:r>
      <w:r w:rsidR="00BA0E66">
        <w:instrText xml:space="preserve"> REF _Ref181539483 \r \h  \* MERGEFORMAT </w:instrText>
      </w:r>
      <w:r w:rsidR="00BA0E66">
        <w:fldChar w:fldCharType="separate"/>
      </w:r>
      <w:r w:rsidR="00761013">
        <w:t>10</w:t>
      </w:r>
      <w:r w:rsidR="00BA0E66">
        <w:fldChar w:fldCharType="end"/>
      </w:r>
      <w:r w:rsidR="00BA0E66" w:rsidRPr="00D73430">
        <w:t xml:space="preserve">, с. 86]. </w:t>
      </w:r>
    </w:p>
    <w:p w14:paraId="7675E59D" w14:textId="77777777" w:rsidR="00FD36BD" w:rsidRDefault="00145F8E" w:rsidP="00F044A4">
      <w:pPr>
        <w:pStyle w:val="7"/>
      </w:pPr>
      <w:r>
        <w:t xml:space="preserve">Большой раздел книги «Память» посвящен </w:t>
      </w:r>
      <w:r w:rsidR="00F044A4" w:rsidRPr="00D73430">
        <w:t>описани</w:t>
      </w:r>
      <w:r>
        <w:t>ю</w:t>
      </w:r>
      <w:r w:rsidR="00F044A4" w:rsidRPr="00D73430">
        <w:t xml:space="preserve"> социально-экономической и политической ситуации </w:t>
      </w:r>
      <w:r w:rsidR="000426D2">
        <w:t xml:space="preserve">в </w:t>
      </w:r>
      <w:r w:rsidR="00F044A4" w:rsidRPr="00D73430">
        <w:t>период</w:t>
      </w:r>
      <w:r w:rsidR="000426D2">
        <w:t xml:space="preserve"> Великой Отечественной войны. Достаточно подробно рассматриваюся события </w:t>
      </w:r>
      <w:r w:rsidR="00F044A4" w:rsidRPr="00D73430">
        <w:t>оккупаци</w:t>
      </w:r>
      <w:r w:rsidR="000426D2">
        <w:t xml:space="preserve">и: </w:t>
      </w:r>
      <w:r w:rsidR="00F044A4" w:rsidRPr="00D73430">
        <w:t>назначени</w:t>
      </w:r>
      <w:r w:rsidR="000426D2">
        <w:t>е</w:t>
      </w:r>
      <w:r w:rsidR="00F044A4" w:rsidRPr="00D73430">
        <w:t xml:space="preserve"> немцами «</w:t>
      </w:r>
      <w:r w:rsidR="00F044A4" w:rsidRPr="00D73430">
        <w:rPr>
          <w:lang w:val="be-BY"/>
        </w:rPr>
        <w:t>солтысаў</w:t>
      </w:r>
      <w:r w:rsidR="00F044A4" w:rsidRPr="00D73430">
        <w:t>» и их наместников, а</w:t>
      </w:r>
      <w:r w:rsidR="000426D2">
        <w:t xml:space="preserve"> также</w:t>
      </w:r>
      <w:r w:rsidR="00F044A4" w:rsidRPr="00D73430">
        <w:t xml:space="preserve"> «</w:t>
      </w:r>
      <w:r w:rsidR="00FD36BD">
        <w:rPr>
          <w:lang w:val="be-BY"/>
        </w:rPr>
        <w:t>сарыят</w:t>
      </w:r>
      <w:r w:rsidR="00FD36BD">
        <w:t>ов»</w:t>
      </w:r>
      <w:r w:rsidR="00F044A4" w:rsidRPr="00D73430">
        <w:t xml:space="preserve"> и </w:t>
      </w:r>
      <w:r w:rsidR="00F044A4" w:rsidRPr="00D73430">
        <w:lastRenderedPageBreak/>
        <w:t>«</w:t>
      </w:r>
      <w:r w:rsidR="00F044A4" w:rsidRPr="00D73430">
        <w:rPr>
          <w:lang w:val="be-BY"/>
        </w:rPr>
        <w:t>шэф</w:t>
      </w:r>
      <w:r w:rsidR="00FD36BD">
        <w:rPr>
          <w:lang w:val="be-BY"/>
        </w:rPr>
        <w:t>ов</w:t>
      </w:r>
      <w:r w:rsidR="00F044A4" w:rsidRPr="00D73430">
        <w:t>», которые занимались сбором налогов с населения</w:t>
      </w:r>
      <w:r w:rsidR="00FD36BD">
        <w:t xml:space="preserve"> и </w:t>
      </w:r>
      <w:r w:rsidR="00F044A4" w:rsidRPr="00D73430">
        <w:t>обслуживанием немецких гарнизонов и полицейских участков [</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xml:space="preserve">, с. 197]. </w:t>
      </w:r>
      <w:r w:rsidR="00FD36BD">
        <w:t>Представлена</w:t>
      </w:r>
      <w:r w:rsidR="00F044A4" w:rsidRPr="00D73430">
        <w:t xml:space="preserve"> деятельност</w:t>
      </w:r>
      <w:r w:rsidR="00FD36BD">
        <w:t>ь</w:t>
      </w:r>
      <w:r w:rsidR="00F044A4" w:rsidRPr="00D73430">
        <w:t xml:space="preserve"> антифашистского комитета в Верховичах, многие члены которого были по доносу арестованы и расстреляны [</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xml:space="preserve">, с. 219]. Также </w:t>
      </w:r>
      <w:r w:rsidR="00FD36BD">
        <w:t>приведены отдельные</w:t>
      </w:r>
      <w:r w:rsidR="00F044A4" w:rsidRPr="00D73430">
        <w:t xml:space="preserve"> события</w:t>
      </w:r>
      <w:r w:rsidR="00FD36BD">
        <w:t xml:space="preserve"> военного периода, связанные с д. Верховичи.</w:t>
      </w:r>
      <w:r w:rsidR="00F044A4" w:rsidRPr="00D73430">
        <w:t xml:space="preserve"> </w:t>
      </w:r>
      <w:r w:rsidR="00FD36BD">
        <w:t xml:space="preserve">Так, например, упоминается ситуация </w:t>
      </w:r>
      <w:r w:rsidR="00F044A4" w:rsidRPr="00D73430">
        <w:t>20 марта</w:t>
      </w:r>
      <w:r w:rsidR="00FD36BD">
        <w:t xml:space="preserve"> 1944 г, когда</w:t>
      </w:r>
      <w:r w:rsidR="00F044A4" w:rsidRPr="00D73430">
        <w:t xml:space="preserve"> в д. Януши из д. Верховичи приехало 49 гитлеровцев из полевой жандармерии в целях поиска белорусских партизан [</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rsidRPr="00D73430">
        <w:t xml:space="preserve">, с. 245]. </w:t>
      </w:r>
    </w:p>
    <w:p w14:paraId="1155B945" w14:textId="419C46CA" w:rsidR="00F044A4" w:rsidRDefault="00FD36BD" w:rsidP="00F044A4">
      <w:pPr>
        <w:pStyle w:val="7"/>
      </w:pPr>
      <w:r>
        <w:t xml:space="preserve">В книге «Память» Каменецкого района даётся описание мемориальных объектов, связанных с войной. </w:t>
      </w:r>
      <w:r w:rsidR="00F044A4" w:rsidRPr="00D73430">
        <w:t xml:space="preserve">Важным будет упоминание о братской могиле, которая располагается в Верховичах. </w:t>
      </w:r>
      <w:r>
        <w:t>В 1993</w:t>
      </w:r>
      <w:r w:rsidR="00F044A4" w:rsidRPr="00D73430">
        <w:t> г. там была открыта ещё одна</w:t>
      </w:r>
      <w:r>
        <w:t>,</w:t>
      </w:r>
      <w:r w:rsidR="00F044A4" w:rsidRPr="00D73430">
        <w:t xml:space="preserve"> помимо двух существующих</w:t>
      </w:r>
      <w:r>
        <w:t>,</w:t>
      </w:r>
      <w:r w:rsidR="00F044A4" w:rsidRPr="00D73430">
        <w:t xml:space="preserve"> </w:t>
      </w:r>
      <w:r w:rsidR="00D17860">
        <w:t>мемориальная</w:t>
      </w:r>
      <w:r w:rsidR="00F044A4" w:rsidRPr="00D73430">
        <w:t xml:space="preserve"> доска. На ней золотистыми буквами высечены имена польских партизан, которые погибли при освобождении белорусских земель из-под немецко-фашистской оккупации: «</w:t>
      </w:r>
      <w:r w:rsidR="00F044A4" w:rsidRPr="00D73430">
        <w:rPr>
          <w:lang w:val="be-BY"/>
        </w:rPr>
        <w:t>Аляксандр Бішоф</w:t>
      </w:r>
      <w:r w:rsidR="00F044A4" w:rsidRPr="00D73430">
        <w:t xml:space="preserve">», «Марэк Празер», «Войцах Ягадзінскі», «Стэфан Скібнеўскі», «Крыштаф Стэмбаш», «Зігмунд Вішнеўскі», «Франк Вішнеўскі». Также в этом месте похоронено 3 советских офицера, от которых известными остались только имена: «Алёша», «Лёнька», «Вася». Группа поляков шла на соединение с отрядом, который действовал в Беловежской пуще, однако они наткнулись на вражескую засаду и погибли в неравном бою. Это было 29 июля 1944 г., кода советские войска уже приближались к Каменецкому району </w:t>
      </w:r>
      <w:r w:rsidR="00FB6D77">
        <w:br/>
      </w:r>
      <w:r w:rsidR="00F044A4" w:rsidRPr="00D73430">
        <w:t>[</w:t>
      </w:r>
      <w:r w:rsidR="00F044A4">
        <w:fldChar w:fldCharType="begin"/>
      </w:r>
      <w:r w:rsidR="00F044A4">
        <w:instrText xml:space="preserve"> REF _Ref181539146 \r \h  \* MERGEFORMAT </w:instrText>
      </w:r>
      <w:r w:rsidR="00F044A4">
        <w:fldChar w:fldCharType="separate"/>
      </w:r>
      <w:r w:rsidR="00761013">
        <w:t>12</w:t>
      </w:r>
      <w:r w:rsidR="00F044A4">
        <w:fldChar w:fldCharType="end"/>
      </w:r>
      <w:r w:rsidR="00F044A4">
        <w:t xml:space="preserve">, </w:t>
      </w:r>
      <w:r w:rsidR="00F044A4" w:rsidRPr="00D73430">
        <w:t xml:space="preserve">с. 261]. </w:t>
      </w:r>
    </w:p>
    <w:p w14:paraId="2F9C3928" w14:textId="48E824CF" w:rsidR="000558D2" w:rsidRPr="00D73430" w:rsidRDefault="00F044A4" w:rsidP="000558D2">
      <w:pPr>
        <w:pStyle w:val="7"/>
      </w:pPr>
      <w:r w:rsidRPr="00D73430">
        <w:t>Проведя исследование</w:t>
      </w:r>
      <w:r w:rsidR="00D17860">
        <w:t>,</w:t>
      </w:r>
      <w:r w:rsidRPr="00D73430">
        <w:t xml:space="preserve"> авторы книги «Память» пришли к выводу, что во время </w:t>
      </w:r>
      <w:r w:rsidR="00D17860">
        <w:t>В</w:t>
      </w:r>
      <w:r w:rsidRPr="00D73430">
        <w:t xml:space="preserve">еликой </w:t>
      </w:r>
      <w:r w:rsidR="00D17860">
        <w:t>О</w:t>
      </w:r>
      <w:r w:rsidRPr="00D73430">
        <w:t xml:space="preserve">течественной войны на территории </w:t>
      </w:r>
      <w:r w:rsidR="00D17860">
        <w:t xml:space="preserve">Верховичского сельсовета </w:t>
      </w:r>
      <w:r w:rsidRPr="00D73430">
        <w:t>в промежуток с 1941 по 1945 </w:t>
      </w:r>
      <w:r w:rsidRPr="00D73430">
        <w:rPr>
          <w:lang w:val="be-BY"/>
        </w:rPr>
        <w:t>гг</w:t>
      </w:r>
      <w:r w:rsidRPr="00D73430">
        <w:t xml:space="preserve">. погибло 136 человек, из которых не вернулся с фронта 121 человек. </w:t>
      </w:r>
      <w:r w:rsidR="000558D2">
        <w:t xml:space="preserve">Ученым </w:t>
      </w:r>
      <w:r w:rsidR="000558D2" w:rsidRPr="00D73430">
        <w:t>удалось установить личности людей из следующих деревень Верховичского сельсовета: д. Опака (Каратень Пётр Михайлович, родился в 1898 г. Партизан, погиб в 1942 г.; Чернецкий Нестор Давидович, родился в 1909 г. был расстрелян за связь с партизанами), д. Берёзовка (Валранюк Николай Сидорович, родился в 1923 г.</w:t>
      </w:r>
      <w:r w:rsidR="000558D2">
        <w:t>,</w:t>
      </w:r>
      <w:r w:rsidR="000558D2" w:rsidRPr="00D73430">
        <w:t xml:space="preserve"> погиб в плену у фашистов; Гупенец Василий Фёдорович, родился в 1915 г. погиб в 1945 г.; К</w:t>
      </w:r>
      <w:r w:rsidR="000558D2">
        <w:t>о</w:t>
      </w:r>
      <w:r w:rsidR="000558D2" w:rsidRPr="00D73430">
        <w:t>ндр</w:t>
      </w:r>
      <w:r w:rsidR="000558D2">
        <w:t>а</w:t>
      </w:r>
      <w:r w:rsidR="000558D2" w:rsidRPr="00D73430">
        <w:t>тюк Михаил Степанович, родился в 1923 г.</w:t>
      </w:r>
      <w:r w:rsidR="000558D2">
        <w:t>,</w:t>
      </w:r>
      <w:r w:rsidR="000558D2" w:rsidRPr="00D73430">
        <w:t xml:space="preserve"> умер в 1945 г. в плену у фашистов), д. Верховичи (Степанюк Филип Яковлевич, родился в 1902 г.</w:t>
      </w:r>
      <w:r w:rsidR="000558D2">
        <w:t>,</w:t>
      </w:r>
      <w:r w:rsidR="000558D2" w:rsidRPr="00D73430">
        <w:t xml:space="preserve"> расстрелян за связь с партизанами в 1944 г.), д. Дворец (Крэчка Варфоломей Васильевич, родился в 1896 г.</w:t>
      </w:r>
      <w:r w:rsidR="000558D2">
        <w:t>,</w:t>
      </w:r>
      <w:r w:rsidR="000558D2" w:rsidRPr="00D73430">
        <w:t xml:space="preserve"> расстрелян в 1943 г. за связь с партизанами; Крэчка Николай Васильевич, родился в 1913 г.</w:t>
      </w:r>
      <w:r w:rsidR="000558D2">
        <w:t>,</w:t>
      </w:r>
      <w:r w:rsidR="000558D2" w:rsidRPr="00D73430">
        <w:t xml:space="preserve"> был расстрелян за связь с партизанами), д. Долбизно (Василюк Яким Варфоломеевич, родился в 1900 г.</w:t>
      </w:r>
      <w:r w:rsidR="000558D2">
        <w:t>,</w:t>
      </w:r>
      <w:r w:rsidR="000558D2" w:rsidRPr="00D73430">
        <w:t xml:space="preserve"> в 1943 г. был расстрелян за связь с партизанами; Семенюк Карп Тимофеевич, родился в 1895 г.</w:t>
      </w:r>
      <w:r w:rsidR="000558D2">
        <w:t>,</w:t>
      </w:r>
      <w:r w:rsidR="000558D2" w:rsidRPr="00D73430">
        <w:t xml:space="preserve"> в 1943 г. был расстрелян за связи с партизанами), д. Копылы (Касьянюк Николай </w:t>
      </w:r>
      <w:r w:rsidR="000558D2" w:rsidRPr="00D73430">
        <w:lastRenderedPageBreak/>
        <w:t>Фёдорович, родился в 1912 г.</w:t>
      </w:r>
      <w:r w:rsidR="000558D2">
        <w:t>,</w:t>
      </w:r>
      <w:r w:rsidR="000558D2" w:rsidRPr="00D73430">
        <w:t xml:space="preserve"> расстрелян гитлеровцами в Пружанах за связь с партизанами), д. Победа (Карпук Алексей, родился в 1913 г.</w:t>
      </w:r>
      <w:r w:rsidR="000558D2">
        <w:t>,</w:t>
      </w:r>
      <w:r w:rsidR="000558D2" w:rsidRPr="00D73430">
        <w:t xml:space="preserve"> расстрелян в Пружанах), д. Хлевище (Багачук Максим Иванович, родился в 1905 г.</w:t>
      </w:r>
      <w:r w:rsidR="000558D2">
        <w:t>,</w:t>
      </w:r>
      <w:r w:rsidR="000558D2" w:rsidRPr="00D73430">
        <w:t xml:space="preserve"> до войны работал инспектором народного образования, был пойман </w:t>
      </w:r>
      <w:r w:rsidR="000558D2">
        <w:t>нацистами</w:t>
      </w:r>
      <w:r w:rsidR="000558D2" w:rsidRPr="00D73430">
        <w:t xml:space="preserve"> и умер под пытками в сентябре 1941 г.; Якимчук Ива</w:t>
      </w:r>
      <w:r w:rsidR="000558D2">
        <w:t xml:space="preserve">н Степанович, родился в 1926 г., </w:t>
      </w:r>
      <w:r w:rsidR="000558D2" w:rsidRPr="00D73430">
        <w:t>убит в июне 1944 г.), д. Ясиновка (Федорук Куприян Андреевич, родился в 1903 г. расстрелян в 1944 г.) [</w:t>
      </w:r>
      <w:r w:rsidR="000558D2">
        <w:fldChar w:fldCharType="begin"/>
      </w:r>
      <w:r w:rsidR="000558D2">
        <w:instrText xml:space="preserve"> REF _Ref181539146 \r \h  \* MERGEFORMAT </w:instrText>
      </w:r>
      <w:r w:rsidR="000558D2">
        <w:fldChar w:fldCharType="separate"/>
      </w:r>
      <w:r w:rsidR="00761013">
        <w:t>12</w:t>
      </w:r>
      <w:r w:rsidR="000558D2">
        <w:fldChar w:fldCharType="end"/>
      </w:r>
      <w:r w:rsidR="000558D2">
        <w:t xml:space="preserve">, </w:t>
      </w:r>
      <w:r w:rsidR="000558D2" w:rsidRPr="00D73430">
        <w:t>с. 290]. Также в книге «Память» перечислены воины Красной Армии, погибшие при обороне и освобождении Каменецкого района.</w:t>
      </w:r>
      <w:r w:rsidR="000558D2" w:rsidRPr="000558D2">
        <w:t xml:space="preserve"> </w:t>
      </w:r>
      <w:r w:rsidR="000558D2" w:rsidRPr="00D73430">
        <w:t>Также</w:t>
      </w:r>
      <w:r w:rsidR="00FB6D77">
        <w:t>,</w:t>
      </w:r>
      <w:r w:rsidR="000558D2" w:rsidRPr="00D73430">
        <w:t xml:space="preserve"> в данной работе указаны пропавшие без вести и погибшие воины, родившиеся именно на территории Верховичского сельсовета. Их число составило 119 человек [</w:t>
      </w:r>
      <w:r w:rsidR="000558D2">
        <w:rPr>
          <w:lang w:val="en-US"/>
        </w:rPr>
        <w:fldChar w:fldCharType="begin"/>
      </w:r>
      <w:r w:rsidR="000558D2">
        <w:instrText xml:space="preserve"> REF _Ref181539146 \r \h </w:instrText>
      </w:r>
      <w:r w:rsidR="000558D2" w:rsidRPr="00541980">
        <w:instrText xml:space="preserve"> \* </w:instrText>
      </w:r>
      <w:r w:rsidR="000558D2">
        <w:rPr>
          <w:lang w:val="en-US"/>
        </w:rPr>
        <w:instrText>MERGEFORMAT</w:instrText>
      </w:r>
      <w:r w:rsidR="000558D2" w:rsidRPr="00541980">
        <w:instrText xml:space="preserve"> </w:instrText>
      </w:r>
      <w:r w:rsidR="000558D2">
        <w:rPr>
          <w:lang w:val="en-US"/>
        </w:rPr>
      </w:r>
      <w:r w:rsidR="000558D2">
        <w:rPr>
          <w:lang w:val="en-US"/>
        </w:rPr>
        <w:fldChar w:fldCharType="separate"/>
      </w:r>
      <w:r w:rsidR="00761013">
        <w:t>12</w:t>
      </w:r>
      <w:r w:rsidR="000558D2">
        <w:rPr>
          <w:lang w:val="en-US"/>
        </w:rPr>
        <w:fldChar w:fldCharType="end"/>
      </w:r>
      <w:r w:rsidR="000558D2" w:rsidRPr="00D73430">
        <w:t>, с. 381].</w:t>
      </w:r>
    </w:p>
    <w:p w14:paraId="20B146BD" w14:textId="498E877D" w:rsidR="00F044A4" w:rsidRPr="00D73430" w:rsidRDefault="00F044A4" w:rsidP="00F044A4">
      <w:pPr>
        <w:pStyle w:val="7"/>
      </w:pPr>
      <w:r w:rsidRPr="00D73430">
        <w:t xml:space="preserve">На территории Верховичского сельсовета располагаются «Братская могила советских воинов и партизан», две Братских могилы советских воинов. </w:t>
      </w:r>
      <w:r w:rsidR="00D17860">
        <w:t>Т</w:t>
      </w:r>
      <w:r w:rsidRPr="00D73430">
        <w:t>ак, например в центре д. Верховичи похоронены 139 воинов, которые погибли 20</w:t>
      </w:r>
      <w:r w:rsidR="00D17860">
        <w:t>–</w:t>
      </w:r>
      <w:r w:rsidRPr="00D73430">
        <w:t xml:space="preserve">28.07.1944 г. при освобождении деревень Верховичского сельсовета от гитлеровцев и 9 партизан. В 1956 г. на могиле был установлен памятник – скульптура женщины с флагом в руках. Братская могила советских воинов, которая находится в д. Долбизно </w:t>
      </w:r>
      <w:r w:rsidR="00D17860">
        <w:t>около</w:t>
      </w:r>
      <w:r w:rsidRPr="00D73430">
        <w:t xml:space="preserve"> клуба, содержит в себе захоронение 90 воинов, которые погибли 22</w:t>
      </w:r>
      <w:r w:rsidR="00D17860">
        <w:t>–</w:t>
      </w:r>
      <w:r w:rsidRPr="00D73430">
        <w:t xml:space="preserve">28.07.1944 г. в боях при </w:t>
      </w:r>
      <w:r w:rsidR="00D17860">
        <w:t>освождении</w:t>
      </w:r>
      <w:r w:rsidRPr="00D73430">
        <w:t xml:space="preserve"> района от </w:t>
      </w:r>
      <w:r w:rsidR="00D17860">
        <w:t>нацистских</w:t>
      </w:r>
      <w:r w:rsidRPr="00D73430">
        <w:t xml:space="preserve"> захватчиков. В 1960 г. на могиле установлен памятник – скульптура война с наклонённым флагом. Братская могила советских воинов, которая находится в центре д. Хлевище, содержит захоронения 39 воинов, которые погибли в боях в июле-августе 1944 г. в околицах деревни во время освобождения района от фашистов. В 1960 г. на могиле установлен памятник – скульптура женщины с флагом в руках [</w:t>
      </w:r>
      <w:r>
        <w:fldChar w:fldCharType="begin"/>
      </w:r>
      <w:r>
        <w:instrText xml:space="preserve"> REF _Ref181539146 \r \h  \* MERGEFORMAT </w:instrText>
      </w:r>
      <w:r>
        <w:fldChar w:fldCharType="separate"/>
      </w:r>
      <w:r w:rsidR="00761013">
        <w:t>12</w:t>
      </w:r>
      <w:r>
        <w:fldChar w:fldCharType="end"/>
      </w:r>
      <w:r>
        <w:t xml:space="preserve">, </w:t>
      </w:r>
      <w:r w:rsidRPr="00D73430">
        <w:t xml:space="preserve">с. 279]. </w:t>
      </w:r>
    </w:p>
    <w:p w14:paraId="18D6DD21" w14:textId="2965CDFE" w:rsidR="006A49E6" w:rsidRDefault="00FB6D77" w:rsidP="00F044A4">
      <w:pPr>
        <w:pStyle w:val="7"/>
      </w:pPr>
      <w:r>
        <w:t xml:space="preserve">Отдельные аспекты функцинирования д. Верховичи в послевоенный период затрагиваются в немногочисленных статьях. </w:t>
      </w:r>
    </w:p>
    <w:p w14:paraId="1950FB14" w14:textId="1D303867" w:rsidR="00F044A4" w:rsidRPr="00D73430" w:rsidRDefault="00F044A4" w:rsidP="00F044A4">
      <w:pPr>
        <w:pStyle w:val="7"/>
      </w:pPr>
      <w:r w:rsidRPr="00D73430">
        <w:t xml:space="preserve">В 2012 г. Брусевич В.А. и Региневич И.И. опубликовали статью, посвящённую Верховичской областной противотуберкулезной больнице. В ней они описали причины и историю строительства больницы, рассмотрели саму структуру больницы, а также </w:t>
      </w:r>
      <w:r w:rsidR="00FB6D77">
        <w:t xml:space="preserve">деятельность </w:t>
      </w:r>
      <w:r w:rsidRPr="00D73430">
        <w:t xml:space="preserve">рабочего медперсонала и последовательность всех работавших в ней главврачей. Так же в своей работе они удели внимание развитию технической базы больницы. </w:t>
      </w:r>
      <w:r w:rsidR="00FB6D77">
        <w:t>С</w:t>
      </w:r>
      <w:r w:rsidRPr="00D73430">
        <w:t xml:space="preserve"> вышеуказанным в статье был </w:t>
      </w:r>
      <w:r w:rsidR="00FB6D77">
        <w:t>сделан</w:t>
      </w:r>
      <w:r w:rsidRPr="00D73430">
        <w:t xml:space="preserve"> </w:t>
      </w:r>
      <w:r w:rsidR="00FB6D77">
        <w:t>половозрастной</w:t>
      </w:r>
      <w:r w:rsidRPr="00D73430">
        <w:t xml:space="preserve"> </w:t>
      </w:r>
      <w:r w:rsidR="00FB6D77">
        <w:t>анализ</w:t>
      </w:r>
      <w:r w:rsidRPr="00D73430">
        <w:t xml:space="preserve"> рабочих, а также рассмотрена деятельность профсоюзной организации больницы [</w:t>
      </w:r>
      <w:r>
        <w:fldChar w:fldCharType="begin"/>
      </w:r>
      <w:r>
        <w:instrText xml:space="preserve"> REF _Ref181539516 \r \h  \* MERGEFORMAT </w:instrText>
      </w:r>
      <w:r>
        <w:fldChar w:fldCharType="separate"/>
      </w:r>
      <w:r w:rsidR="00761013">
        <w:t>2</w:t>
      </w:r>
      <w:r>
        <w:fldChar w:fldCharType="end"/>
      </w:r>
      <w:r w:rsidRPr="00D73430">
        <w:rPr>
          <w:lang w:val="be-BY"/>
        </w:rPr>
        <w:t>, с.</w:t>
      </w:r>
      <w:r w:rsidRPr="00D73430">
        <w:t xml:space="preserve"> 29].</w:t>
      </w:r>
    </w:p>
    <w:p w14:paraId="064B8FCE" w14:textId="2C6F003F" w:rsidR="00F044A4" w:rsidRDefault="00F044A4" w:rsidP="00F044A4">
      <w:pPr>
        <w:pStyle w:val="7"/>
      </w:pPr>
      <w:r w:rsidRPr="00D73430">
        <w:t>Работа «Развитие учреждений культуры Каменецкого района в 80-е гг. ХХ в.» С.А. Донцовой</w:t>
      </w:r>
      <w:r w:rsidR="00FB6D77">
        <w:t xml:space="preserve"> </w:t>
      </w:r>
      <w:r w:rsidR="000F437D">
        <w:t>посвяще</w:t>
      </w:r>
      <w:r w:rsidRPr="00D73430">
        <w:t>на истории развития учреждений культуры на территории Каменецкого района</w:t>
      </w:r>
      <w:r w:rsidR="000F437D">
        <w:t>,</w:t>
      </w:r>
      <w:r w:rsidRPr="00D73430">
        <w:t xml:space="preserve"> также </w:t>
      </w:r>
      <w:r w:rsidR="00FB6D77">
        <w:t>содержит информацию о Верховичах и соседних населенных пунктах</w:t>
      </w:r>
      <w:r w:rsidR="000F437D">
        <w:t xml:space="preserve">: </w:t>
      </w:r>
      <w:r w:rsidR="000F437D" w:rsidRPr="00D73430">
        <w:t>бригады</w:t>
      </w:r>
      <w:r w:rsidR="000F437D">
        <w:t xml:space="preserve"> учреждений </w:t>
      </w:r>
      <w:r w:rsidR="000F437D">
        <w:lastRenderedPageBreak/>
        <w:t>культуры</w:t>
      </w:r>
      <w:r w:rsidR="000F437D" w:rsidRPr="00D73430">
        <w:t xml:space="preserve"> из д. Пелище, д. Ходосы, д. Бушмичи, д. Верховичи, д. Новицковичи</w:t>
      </w:r>
      <w:r w:rsidR="000F437D">
        <w:t xml:space="preserve"> многократно</w:t>
      </w:r>
      <w:r w:rsidRPr="00D73430">
        <w:t xml:space="preserve"> со своими программами, разнообразными по тематике</w:t>
      </w:r>
      <w:r w:rsidR="000F437D">
        <w:t xml:space="preserve">, были </w:t>
      </w:r>
      <w:r w:rsidRPr="00D73430">
        <w:t>лучшими</w:t>
      </w:r>
      <w:r w:rsidR="000F437D">
        <w:t xml:space="preserve"> на конкурсах</w:t>
      </w:r>
      <w:r w:rsidRPr="00D73430">
        <w:t>. [</w:t>
      </w:r>
      <w:r>
        <w:rPr>
          <w:lang w:val="en-US"/>
        </w:rPr>
        <w:fldChar w:fldCharType="begin"/>
      </w:r>
      <w:r>
        <w:instrText xml:space="preserve"> REF _Ref181539585 \r \h </w:instrText>
      </w:r>
      <w:r w:rsidRPr="0097408C">
        <w:instrText xml:space="preserve"> \* </w:instrText>
      </w:r>
      <w:r>
        <w:rPr>
          <w:lang w:val="en-US"/>
        </w:rPr>
        <w:instrText>MERGEFORMAT</w:instrText>
      </w:r>
      <w:r w:rsidRPr="0097408C">
        <w:instrText xml:space="preserve"> </w:instrText>
      </w:r>
      <w:r>
        <w:rPr>
          <w:lang w:val="en-US"/>
        </w:rPr>
      </w:r>
      <w:r>
        <w:rPr>
          <w:lang w:val="en-US"/>
        </w:rPr>
        <w:fldChar w:fldCharType="separate"/>
      </w:r>
      <w:r w:rsidR="00761013">
        <w:t>5</w:t>
      </w:r>
      <w:r>
        <w:rPr>
          <w:lang w:val="en-US"/>
        </w:rPr>
        <w:fldChar w:fldCharType="end"/>
      </w:r>
      <w:r w:rsidRPr="00D73430">
        <w:t>].</w:t>
      </w:r>
    </w:p>
    <w:p w14:paraId="75BB709A" w14:textId="0B5AA8EB" w:rsidR="005075B7" w:rsidRDefault="00F044A4" w:rsidP="00F044A4">
      <w:pPr>
        <w:pStyle w:val="7"/>
      </w:pPr>
      <w:r>
        <w:t xml:space="preserve">На основании </w:t>
      </w:r>
      <w:r w:rsidR="000F437D">
        <w:t xml:space="preserve">вышеизложенного </w:t>
      </w:r>
      <w:r>
        <w:t xml:space="preserve">можно сделать следующие выводы: </w:t>
      </w:r>
      <w:r w:rsidR="000F437D">
        <w:t>в</w:t>
      </w:r>
      <w:r>
        <w:t xml:space="preserve"> советский период не уделялось </w:t>
      </w:r>
      <w:r w:rsidR="000F437D">
        <w:t>большого</w:t>
      </w:r>
      <w:r>
        <w:t xml:space="preserve"> внимания </w:t>
      </w:r>
      <w:r w:rsidR="000F437D">
        <w:t>краеведению и микроисследованиями,</w:t>
      </w:r>
      <w:r>
        <w:t xml:space="preserve"> о чем свидетельствует отсутствие каких-либо серьёзных работ. По своей сути</w:t>
      </w:r>
      <w:r w:rsidR="000F437D">
        <w:t>,</w:t>
      </w:r>
      <w:r>
        <w:t xml:space="preserve"> </w:t>
      </w:r>
      <w:r w:rsidR="000F437D">
        <w:t>более</w:t>
      </w:r>
      <w:r>
        <w:t xml:space="preserve"> серьёзное рассмотрение данного региона началось только в </w:t>
      </w:r>
      <w:r w:rsidR="000F437D">
        <w:t>19</w:t>
      </w:r>
      <w:r>
        <w:t xml:space="preserve">90-е гг. </w:t>
      </w:r>
      <w:r w:rsidR="005075B7">
        <w:t xml:space="preserve">Большое значение в этом сдвиге принадлежит изданию книг «Память», в частности по Каменецкому району. </w:t>
      </w:r>
      <w:r>
        <w:t xml:space="preserve">В </w:t>
      </w:r>
      <w:r w:rsidR="005075B7">
        <w:t>первые десятилетия</w:t>
      </w:r>
      <w:r>
        <w:t xml:space="preserve"> </w:t>
      </w:r>
      <w:r>
        <w:rPr>
          <w:lang w:val="en-US"/>
        </w:rPr>
        <w:t>XXI</w:t>
      </w:r>
      <w:r>
        <w:t xml:space="preserve"> в. </w:t>
      </w:r>
      <w:r w:rsidR="005075B7">
        <w:t>история деревни</w:t>
      </w:r>
      <w:r>
        <w:t xml:space="preserve"> </w:t>
      </w:r>
      <w:r w:rsidR="005075B7">
        <w:t>рассматривается в работах энциклопедического характера, либо в рамках отдельных узкотематических исседованиях. Отдельн</w:t>
      </w:r>
      <w:r w:rsidR="00C37D12">
        <w:t>ой</w:t>
      </w:r>
      <w:r w:rsidR="005075B7">
        <w:t xml:space="preserve"> специально</w:t>
      </w:r>
      <w:r w:rsidR="00C37D12">
        <w:t>й</w:t>
      </w:r>
      <w:r w:rsidR="005075B7">
        <w:t xml:space="preserve"> </w:t>
      </w:r>
      <w:r w:rsidR="00C37D12">
        <w:t>работы</w:t>
      </w:r>
      <w:r w:rsidR="005075B7">
        <w:t>, посвященн</w:t>
      </w:r>
      <w:r w:rsidR="00C37D12">
        <w:t>ой</w:t>
      </w:r>
      <w:r w:rsidR="005075B7">
        <w:t xml:space="preserve"> д. Верховичи и её окрестностям в ходе нашего </w:t>
      </w:r>
      <w:r w:rsidR="00C37D12">
        <w:t>изучения научной литературы</w:t>
      </w:r>
      <w:r w:rsidR="005075B7">
        <w:t xml:space="preserve"> выявлено не б</w:t>
      </w:r>
      <w:r w:rsidR="00C37D12">
        <w:t>ыло. Данный факт актуализирует необходимость проведения микроисторического исследования с целью заполнить выявленные пробелы.</w:t>
      </w:r>
    </w:p>
    <w:p w14:paraId="300EF35F" w14:textId="77777777" w:rsidR="00C37D12" w:rsidRDefault="00C37D12" w:rsidP="00F044A4">
      <w:pPr>
        <w:pStyle w:val="7"/>
      </w:pPr>
    </w:p>
    <w:p w14:paraId="489B5F99" w14:textId="77777777" w:rsidR="00C37D12" w:rsidRDefault="00C37D12" w:rsidP="00F044A4">
      <w:pPr>
        <w:pStyle w:val="7"/>
      </w:pPr>
    </w:p>
    <w:p w14:paraId="608C4D50" w14:textId="77777777" w:rsidR="00F044A4" w:rsidRPr="00563842" w:rsidRDefault="00F044A4" w:rsidP="006F6A4F">
      <w:pPr>
        <w:pStyle w:val="8"/>
        <w:numPr>
          <w:ilvl w:val="0"/>
          <w:numId w:val="24"/>
        </w:numPr>
        <w:ind w:left="0" w:firstLine="709"/>
      </w:pPr>
      <w:bookmarkStart w:id="50" w:name="_Ref181539132"/>
      <w:r w:rsidRPr="00563842">
        <w:t>Беларуская Савецкая Энцыклапедыя. Т. 3. Веды – Графік / рэдкал.: П.У. Броўка (гал. рэд.) [і інш.]. – Мінск, 1971. – 608 с.</w:t>
      </w:r>
      <w:bookmarkEnd w:id="50"/>
    </w:p>
    <w:p w14:paraId="017EEB41" w14:textId="77777777" w:rsidR="00F044A4" w:rsidRPr="00563842" w:rsidRDefault="00F044A4" w:rsidP="006F6A4F">
      <w:pPr>
        <w:pStyle w:val="8"/>
        <w:numPr>
          <w:ilvl w:val="0"/>
          <w:numId w:val="24"/>
        </w:numPr>
        <w:ind w:left="0" w:firstLine="709"/>
      </w:pPr>
      <w:bookmarkStart w:id="51" w:name="_Ref181539516"/>
      <w:r w:rsidRPr="00563842">
        <w:t>Брусевич, В.А. Верховичской областной противотуберкулезной больнице 40 лет / В.А. Брусевич, И.И. Региневич // 12-я международная научно-практическая конференция по истории медицины и фармации : Сборник материалов конференции, Гродно, 30 октября 2012 года / Редколлегия: Э.А. Вальчук (отв. ред.), Е.М. Тищенко (отв. ред.) [и др.]. – Гродно: Гродненский государственный медицинский университет, 2012. – С. 29-30.</w:t>
      </w:r>
      <w:bookmarkEnd w:id="51"/>
    </w:p>
    <w:p w14:paraId="7D13D362" w14:textId="77777777" w:rsidR="00F044A4" w:rsidRPr="00563842" w:rsidRDefault="00F044A4" w:rsidP="006F6A4F">
      <w:pPr>
        <w:pStyle w:val="8"/>
        <w:numPr>
          <w:ilvl w:val="0"/>
          <w:numId w:val="24"/>
        </w:numPr>
        <w:ind w:left="0" w:firstLine="709"/>
      </w:pPr>
      <w:bookmarkStart w:id="52" w:name="_Ref181539472"/>
      <w:r w:rsidRPr="00563842">
        <w:t>Гарады і вёскі Беларусі : Энцыклапедыя. Т. 4, кн. 2. Брэсцкая вобласць / рэдкал. : Г.П. Пашкоў (гал. рэд.) [і інш.]. – Мінск : БелЭн, 2007. – 608 с.</w:t>
      </w:r>
      <w:bookmarkEnd w:id="52"/>
    </w:p>
    <w:p w14:paraId="7CA14E56" w14:textId="77777777" w:rsidR="00F044A4" w:rsidRPr="00563842" w:rsidRDefault="00F044A4" w:rsidP="006F6A4F">
      <w:pPr>
        <w:pStyle w:val="8"/>
        <w:numPr>
          <w:ilvl w:val="0"/>
          <w:numId w:val="24"/>
        </w:numPr>
        <w:ind w:left="0" w:firstLine="709"/>
      </w:pPr>
      <w:bookmarkStart w:id="53" w:name="_Ref181539431"/>
      <w:r w:rsidRPr="00563842">
        <w:t>Документы о походе Новгородского полка на Брест и битве при Верховичах. 1655 г. [Электронный ресурс]. – Режим доступа: https://www.vostlit.info/Texts/Dokumenty/Russ/XVII/1640-1660/Pochod_Novg_polka_1655/text1.htm. – Дата доступа: 02.04.2024.</w:t>
      </w:r>
      <w:bookmarkEnd w:id="53"/>
    </w:p>
    <w:p w14:paraId="534728A9" w14:textId="77777777" w:rsidR="00F044A4" w:rsidRPr="00563842" w:rsidRDefault="00F044A4" w:rsidP="006F6A4F">
      <w:pPr>
        <w:pStyle w:val="8"/>
        <w:numPr>
          <w:ilvl w:val="0"/>
          <w:numId w:val="24"/>
        </w:numPr>
        <w:ind w:left="0" w:firstLine="709"/>
      </w:pPr>
      <w:bookmarkStart w:id="54" w:name="_Ref181539585"/>
      <w:r w:rsidRPr="00563842">
        <w:t>Донцова С.А. Развитие учреждений культуры Каменецкого района в 80-е гг. ХХ в / С.А. Донцова. – [Электронный ресурс]. – Режим доступа: https://elib.bsu.by/bitstream/123456789/298928/1/donzova_sbornik30.pdf. – Дата доступа: 02.04.2024.</w:t>
      </w:r>
      <w:bookmarkEnd w:id="54"/>
    </w:p>
    <w:p w14:paraId="6BEFB921" w14:textId="77777777" w:rsidR="00F044A4" w:rsidRPr="00563842" w:rsidRDefault="00F044A4" w:rsidP="006F6A4F">
      <w:pPr>
        <w:pStyle w:val="8"/>
        <w:numPr>
          <w:ilvl w:val="0"/>
          <w:numId w:val="24"/>
        </w:numPr>
        <w:ind w:left="0" w:firstLine="709"/>
      </w:pPr>
      <w:bookmarkStart w:id="55" w:name="_Ref181536815"/>
      <w:r w:rsidRPr="00563842">
        <w:t>Копать Юзеф – Пинская городская центральная библиотека [Электронный ресурс]. – Режим доступа: https://pinsklib.by/capati-jozef/. – Дата доступа: 22.04.2024.</w:t>
      </w:r>
      <w:bookmarkEnd w:id="55"/>
    </w:p>
    <w:p w14:paraId="669E09BE" w14:textId="77777777" w:rsidR="00F044A4" w:rsidRPr="00563842" w:rsidRDefault="00F044A4" w:rsidP="006F6A4F">
      <w:pPr>
        <w:pStyle w:val="8"/>
        <w:numPr>
          <w:ilvl w:val="0"/>
          <w:numId w:val="24"/>
        </w:numPr>
        <w:ind w:left="0" w:firstLine="709"/>
      </w:pPr>
      <w:bookmarkStart w:id="56" w:name="_Ref181539456"/>
      <w:r w:rsidRPr="00563842">
        <w:t>Кулагін А.М. Праваслаўныя храмы Беларусі: Энцыкл. Давед. / А.М. Кулагін. Маст. З.Э. Герасімовіч, У.П. Свентахоўскі. – Мн.: БелЭн, 2007. – 656 с.</w:t>
      </w:r>
      <w:bookmarkEnd w:id="56"/>
    </w:p>
    <w:p w14:paraId="57E8A772" w14:textId="77777777" w:rsidR="00F044A4" w:rsidRPr="00563842" w:rsidRDefault="00F044A4" w:rsidP="006F6A4F">
      <w:pPr>
        <w:pStyle w:val="8"/>
        <w:numPr>
          <w:ilvl w:val="0"/>
          <w:numId w:val="24"/>
        </w:numPr>
        <w:ind w:left="0" w:firstLine="709"/>
      </w:pPr>
      <w:bookmarkStart w:id="57" w:name="_Ref181539554"/>
      <w:r w:rsidRPr="00563842">
        <w:t>Мароз В.В. Драўляныя сакральныя помнікі Берасцейшчыны : нарысы гісторыі, археалогіі і культуры / В.В. Мароз. – Мінск : Беларуская Энцыклапедыя імя Петруся Броўкі, 2018. – 512 с.</w:t>
      </w:r>
      <w:bookmarkEnd w:id="57"/>
    </w:p>
    <w:p w14:paraId="136CB00F" w14:textId="77777777" w:rsidR="00F044A4" w:rsidRPr="00563842" w:rsidRDefault="00F044A4" w:rsidP="006F6A4F">
      <w:pPr>
        <w:pStyle w:val="8"/>
        <w:numPr>
          <w:ilvl w:val="0"/>
          <w:numId w:val="24"/>
        </w:numPr>
        <w:ind w:left="0" w:firstLine="709"/>
      </w:pPr>
      <w:bookmarkStart w:id="58" w:name="_Ref181539442"/>
      <w:r w:rsidRPr="00563842">
        <w:lastRenderedPageBreak/>
        <w:t>Мешечко, Е.Н. Краеведение: учеб. метод. пособие для студ. геогр. фак. / Е.Н. Мешечко; Брест. гос. ун-т имени А.С. Пушкина, каф. географии Беларуси. – Брест : БрГУ, 2010. – 353 с.</w:t>
      </w:r>
      <w:bookmarkEnd w:id="58"/>
    </w:p>
    <w:p w14:paraId="4BAAFBA7" w14:textId="77777777" w:rsidR="00F044A4" w:rsidRPr="00563842" w:rsidRDefault="00F044A4" w:rsidP="006F6A4F">
      <w:pPr>
        <w:pStyle w:val="8"/>
        <w:numPr>
          <w:ilvl w:val="0"/>
          <w:numId w:val="24"/>
        </w:numPr>
        <w:ind w:left="0" w:firstLine="709"/>
      </w:pPr>
      <w:bookmarkStart w:id="59" w:name="_Ref181539483"/>
      <w:r w:rsidRPr="00563842">
        <w:t>Мусевич Г.С. Народ, который жил среди нас / Г.С. Мусевич. – Брест, 2009. – 96 с.</w:t>
      </w:r>
      <w:bookmarkEnd w:id="59"/>
      <w:r w:rsidRPr="00563842">
        <w:t xml:space="preserve"> </w:t>
      </w:r>
    </w:p>
    <w:p w14:paraId="79850517" w14:textId="77777777" w:rsidR="00F044A4" w:rsidRPr="00563842" w:rsidRDefault="00F044A4" w:rsidP="006F6A4F">
      <w:pPr>
        <w:pStyle w:val="8"/>
        <w:numPr>
          <w:ilvl w:val="0"/>
          <w:numId w:val="24"/>
        </w:numPr>
        <w:ind w:left="0" w:firstLine="709"/>
      </w:pPr>
      <w:bookmarkStart w:id="60" w:name="_Ref181539361"/>
      <w:r w:rsidRPr="00563842">
        <w:t>Несцярчук Л.М. Замкі, палацы, паркі Берасцейшчыны X – XX стагоддзяў (гісторыя, стан, перспектывы) / Л.М. Несцярчук. – Мн.: БЕЛТА, 2002. – 336 с.</w:t>
      </w:r>
      <w:bookmarkEnd w:id="60"/>
    </w:p>
    <w:p w14:paraId="7F2131DF" w14:textId="77777777" w:rsidR="00F044A4" w:rsidRPr="00563842" w:rsidRDefault="00F044A4" w:rsidP="006F6A4F">
      <w:pPr>
        <w:pStyle w:val="8"/>
        <w:numPr>
          <w:ilvl w:val="0"/>
          <w:numId w:val="24"/>
        </w:numPr>
        <w:ind w:left="0" w:firstLine="709"/>
      </w:pPr>
      <w:bookmarkStart w:id="61" w:name="_Ref181539146"/>
      <w:r w:rsidRPr="00563842">
        <w:t>Памяць: Камянец. Р-н: Гіст.-дак. Хронікі гарадоў і р-наў Баеларусі. – Мн.: Ураджай, 1997. – 526 с.</w:t>
      </w:r>
      <w:bookmarkEnd w:id="61"/>
    </w:p>
    <w:p w14:paraId="37833538" w14:textId="77777777" w:rsidR="00F044A4" w:rsidRPr="00563842" w:rsidRDefault="00F044A4" w:rsidP="006F6A4F">
      <w:pPr>
        <w:pStyle w:val="8"/>
        <w:numPr>
          <w:ilvl w:val="0"/>
          <w:numId w:val="24"/>
        </w:numPr>
        <w:ind w:left="0" w:firstLine="709"/>
      </w:pPr>
      <w:bookmarkStart w:id="62" w:name="_Ref181539570"/>
      <w:r w:rsidRPr="00563842">
        <w:t>Пашкович Е.И. Сельские поселения Полесского Воеводства в 1920-е годы: административно-территориальное устройство, демографическая структура / Е.И. Пашкович. – [Электронный ресурс]. – Режим доступа: https://rep.bstu.by/bitstream/handle/data/25433/46-52.pdf?sequence=1. – Дата доступа: 02.04.2024.</w:t>
      </w:r>
      <w:bookmarkEnd w:id="62"/>
    </w:p>
    <w:p w14:paraId="3F9D6CE7" w14:textId="77777777" w:rsidR="00F044A4" w:rsidRPr="00563842" w:rsidRDefault="00F044A4" w:rsidP="006F6A4F">
      <w:pPr>
        <w:pStyle w:val="8"/>
        <w:numPr>
          <w:ilvl w:val="0"/>
          <w:numId w:val="24"/>
        </w:numPr>
        <w:ind w:left="0" w:firstLine="709"/>
      </w:pPr>
      <w:r w:rsidRPr="00563842">
        <w:t>Сапеги и их наследие в Беларуси [Электронный ресурс]. – Режим доступа: https://34travel.me/gotobelarus/post/podkast-sapegi. – Дата доступа: 22.04.2024.</w:t>
      </w:r>
    </w:p>
    <w:p w14:paraId="15679F4E" w14:textId="77777777" w:rsidR="00F044A4" w:rsidRPr="00842998" w:rsidRDefault="00F044A4" w:rsidP="006F6A4F">
      <w:pPr>
        <w:pStyle w:val="8"/>
        <w:numPr>
          <w:ilvl w:val="0"/>
          <w:numId w:val="24"/>
        </w:numPr>
        <w:ind w:left="0" w:firstLine="709"/>
        <w:rPr>
          <w:bCs/>
          <w:sz w:val="28"/>
          <w:szCs w:val="28"/>
        </w:rPr>
      </w:pPr>
      <w:bookmarkStart w:id="63" w:name="_Ref181539375"/>
      <w:r w:rsidRPr="00563842">
        <w:t>Федорук А.Т. Старинные усадьбы Берестейщины / А.Т. Федорук; ред. Т.Г. Мартыненко. Мн.: БелЭн, 2004. – 576 с.</w:t>
      </w:r>
      <w:bookmarkEnd w:id="63"/>
    </w:p>
    <w:p w14:paraId="2DE7129A" w14:textId="77777777" w:rsidR="00C37D12" w:rsidRPr="00F7633C" w:rsidRDefault="00C37D12" w:rsidP="00C37D12">
      <w:pPr>
        <w:pStyle w:val="7"/>
        <w:rPr>
          <w:bCs/>
          <w:lang w:val="be-BY"/>
        </w:rPr>
      </w:pPr>
    </w:p>
    <w:p w14:paraId="14C1764A" w14:textId="77777777" w:rsidR="00C37D12" w:rsidRDefault="000C69B3" w:rsidP="00C37D12">
      <w:pPr>
        <w:pStyle w:val="Standard"/>
        <w:jc w:val="center"/>
        <w:rPr>
          <w:rStyle w:val="a9"/>
          <w:rFonts w:ascii="Times New Roman" w:hAnsi="Times New Roman" w:cs="Times New Roman"/>
          <w:i/>
          <w:color w:val="auto"/>
          <w:sz w:val="28"/>
          <w:szCs w:val="28"/>
          <w:u w:val="none"/>
          <w:lang w:val="be-BY"/>
        </w:rPr>
      </w:pPr>
      <w:hyperlink w:anchor="_СОДЕРЖАНИЕ" w:history="1">
        <w:r w:rsidR="00C37D12" w:rsidRPr="009D63FE">
          <w:rPr>
            <w:rStyle w:val="a9"/>
            <w:rFonts w:ascii="Times New Roman" w:hAnsi="Times New Roman" w:cs="Times New Roman"/>
            <w:i/>
            <w:color w:val="auto"/>
            <w:sz w:val="28"/>
            <w:szCs w:val="28"/>
            <w:u w:val="none"/>
            <w:lang w:val="be-BY"/>
          </w:rPr>
          <w:t>К содержанию</w:t>
        </w:r>
      </w:hyperlink>
    </w:p>
    <w:p w14:paraId="5CE3AE47" w14:textId="77777777" w:rsidR="00C37D12" w:rsidRDefault="00C37D12" w:rsidP="00C37D12">
      <w:pPr>
        <w:pStyle w:val="12"/>
        <w:rPr>
          <w:lang w:val="ru-RU"/>
        </w:rPr>
      </w:pPr>
    </w:p>
    <w:p w14:paraId="029DFE0C" w14:textId="77777777" w:rsidR="00F044A4" w:rsidRDefault="00F044A4" w:rsidP="0049132B">
      <w:pPr>
        <w:spacing w:after="0" w:line="240" w:lineRule="auto"/>
        <w:ind w:firstLine="709"/>
        <w:jc w:val="both"/>
        <w:rPr>
          <w:rFonts w:ascii="Times New Roman" w:hAnsi="Times New Roman" w:cs="Times New Roman"/>
          <w:caps/>
          <w:sz w:val="28"/>
          <w:szCs w:val="28"/>
          <w:lang w:val="be-BY"/>
        </w:rPr>
      </w:pPr>
    </w:p>
    <w:p w14:paraId="4B0B7259" w14:textId="77777777" w:rsidR="00F044A4" w:rsidRDefault="00F044A4" w:rsidP="0049132B">
      <w:pPr>
        <w:spacing w:after="0" w:line="240" w:lineRule="auto"/>
        <w:ind w:firstLine="709"/>
        <w:jc w:val="both"/>
        <w:rPr>
          <w:rFonts w:ascii="Times New Roman" w:hAnsi="Times New Roman" w:cs="Times New Roman"/>
          <w:caps/>
          <w:sz w:val="28"/>
          <w:szCs w:val="28"/>
          <w:lang w:val="be-BY"/>
        </w:rPr>
      </w:pPr>
    </w:p>
    <w:p w14:paraId="30884F9F" w14:textId="77777777" w:rsidR="00A81B93" w:rsidRDefault="00A81B93" w:rsidP="00A81B93">
      <w:pPr>
        <w:pStyle w:val="12"/>
      </w:pPr>
      <w:r>
        <w:t>УДК  94(476)</w:t>
      </w:r>
    </w:p>
    <w:p w14:paraId="3BD0FA31" w14:textId="394874B6" w:rsidR="00A81B93" w:rsidRDefault="00A81B93" w:rsidP="00A81B93">
      <w:pPr>
        <w:pStyle w:val="14"/>
        <w:rPr>
          <w:i/>
          <w:lang w:val="ru-RU"/>
        </w:rPr>
      </w:pPr>
      <w:bookmarkStart w:id="64" w:name="_Toc181884607"/>
      <w:bookmarkStart w:id="65" w:name="_Toc181894099"/>
      <w:r>
        <w:t>Н.С. Піліпёнак</w:t>
      </w:r>
      <w:bookmarkEnd w:id="64"/>
      <w:bookmarkEnd w:id="65"/>
      <w:r>
        <w:rPr>
          <w:i/>
        </w:rPr>
        <w:t xml:space="preserve"> </w:t>
      </w:r>
    </w:p>
    <w:p w14:paraId="7863561C" w14:textId="55BF66FF" w:rsidR="00A81B93" w:rsidRDefault="00A81B93" w:rsidP="00A81B93">
      <w:pPr>
        <w:pStyle w:val="3"/>
      </w:pPr>
      <w:r w:rsidRPr="0067069C">
        <w:t>Гродна, Г</w:t>
      </w:r>
      <w:r>
        <w:t>рДУ ім. Янкі Купалы</w:t>
      </w:r>
    </w:p>
    <w:p w14:paraId="15EB57BA" w14:textId="11930A68" w:rsidR="00A81B93" w:rsidRPr="00A81B93" w:rsidRDefault="00A81B93" w:rsidP="00A81B93">
      <w:pPr>
        <w:pStyle w:val="4"/>
      </w:pPr>
      <w:r w:rsidRPr="00A81B93">
        <w:t>Навуковы кіраўнік: А. С. Горны, к.г.н., дацэнт</w:t>
      </w:r>
    </w:p>
    <w:p w14:paraId="00912F40" w14:textId="77777777" w:rsidR="00A81B93" w:rsidRDefault="00A81B93" w:rsidP="00A81B93">
      <w:pPr>
        <w:pStyle w:val="7"/>
        <w:rPr>
          <w:lang w:val="be-BY"/>
        </w:rPr>
      </w:pPr>
    </w:p>
    <w:p w14:paraId="5CCE51F6" w14:textId="77777777" w:rsidR="00A81B93" w:rsidRDefault="00A81B93" w:rsidP="00A81B93">
      <w:pPr>
        <w:pStyle w:val="5"/>
        <w:rPr>
          <w:lang w:val="be-BY"/>
        </w:rPr>
      </w:pPr>
      <w:r>
        <w:rPr>
          <w:lang w:val="be-BY"/>
        </w:rPr>
        <w:t>БАЛЬНІЧНЫЯ БІЛЕТЫ ЯК КРЫНІЦА ПА ГІСТОРЫІ ПРАСТЫТУЦЫІ Ў БРЭСЦЕ Ў ПАЧАТКУ ХХ СТ.</w:t>
      </w:r>
    </w:p>
    <w:p w14:paraId="722B2E8B" w14:textId="77777777" w:rsidR="00A81B93" w:rsidRDefault="00A81B93" w:rsidP="00A81B93">
      <w:pPr>
        <w:pStyle w:val="7"/>
        <w:rPr>
          <w:lang w:val="be-BY"/>
        </w:rPr>
      </w:pPr>
    </w:p>
    <w:p w14:paraId="7DA5908A" w14:textId="77777777" w:rsidR="00A81B93" w:rsidRDefault="00A81B93" w:rsidP="00DD1F08">
      <w:pPr>
        <w:pStyle w:val="6"/>
      </w:pPr>
      <w:r>
        <w:t>У дадзенным артыкуле аналізуецца такі від гістарычных крыніц па вывучэнню прастытуцыі першай паловы ХХ ст., як бальнічныя білеты. Аўтар прыходзіць да высновы, што дзякуючы гэтай крыніцы можна дакладна высветліць, жанчыны якіх узростаў, якіх саслоўях часцей займаліся прастытуцыяй, а таксама месца іх жыхарства і прапіскі.</w:t>
      </w:r>
    </w:p>
    <w:p w14:paraId="53A6FCB0" w14:textId="77777777" w:rsidR="00A81B93" w:rsidRDefault="00A81B93" w:rsidP="00DD1F08">
      <w:pPr>
        <w:pStyle w:val="7"/>
        <w:rPr>
          <w:lang w:val="be-BY"/>
        </w:rPr>
      </w:pPr>
    </w:p>
    <w:p w14:paraId="4838BDD5" w14:textId="77777777" w:rsidR="00A81B93" w:rsidRDefault="00A81B93" w:rsidP="00DD1F08">
      <w:pPr>
        <w:pStyle w:val="7"/>
        <w:rPr>
          <w:lang w:val="be-BY"/>
        </w:rPr>
      </w:pPr>
      <w:r>
        <w:rPr>
          <w:lang w:val="be-BY"/>
        </w:rPr>
        <w:t xml:space="preserve">Прастытуцыя – даволі старажытная з’ява. У першую чаргу, гэта камерцыйныя адносіны, якія  вызначаюцца як акт гандлю чалавечым целам. У большасці сваёй паслугі ў гэтай індустрыі прапаноўваюць жанчыны, а куплюць іх мужчыны. Жанчыны, перш-наперш, ідуць на такую распусную справу праз беднасць, патрэбнасць забяспечыць сваю сям’ю, а часам праз няведанне таго, што іх чакае ў гэтай сферы. Мужчыны куплюць жаночыя целы у сувязі з адсутнасцю трывалай партнёршы, жаданнем нейкай разнастайнасці і экзотыкі. Прастытуцыя вельмі небяспечная з’ява, якая </w:t>
      </w:r>
      <w:r>
        <w:rPr>
          <w:lang w:val="be-BY"/>
        </w:rPr>
        <w:lastRenderedPageBreak/>
        <w:t xml:space="preserve">падрывае нормы маралі, грамадскія ідэалы і сямейныя каштоўнасці, супярэчыць асобаснаму значэнню сэксуальных адносін, нармалізуючы звядзенне свайго партнёру да ролі “прадмета”, і служыць сродкам распаўсюджвання венерычных захворванняў. </w:t>
      </w:r>
    </w:p>
    <w:p w14:paraId="43D782AC" w14:textId="77777777" w:rsidR="00A81B93" w:rsidRDefault="00A81B93" w:rsidP="00DD1F08">
      <w:pPr>
        <w:pStyle w:val="7"/>
        <w:rPr>
          <w:lang w:val="be-BY"/>
        </w:rPr>
      </w:pPr>
      <w:r>
        <w:rPr>
          <w:lang w:val="be-BY"/>
        </w:rPr>
        <w:t xml:space="preserve">Вылучаюць тры формы сацыяльнага кантролю за прастытуцыяй: прагібіцыянізм, рэгламентацыя і абаліцыянізм [1, с. 318–319]. Першая мадэль заснавана на забароне прастытуцыі і наказанні як жанчын, якія займаюцца распустай, так і мужчын, якія карыстаюцца іх паслугамі. У другім выпадку прастытуцыя рэгулюецца: у асноўным адбываецца ўрачэбна-паліцэйскі дагляд за прастытуткамі. Трэці варыянт падразумявае пад сабой поўную адмену рэгулявання прастытуцыі як у форме забароны, так і форме рэгламентацыі. </w:t>
      </w:r>
    </w:p>
    <w:p w14:paraId="3DBCE8B6" w14:textId="77777777" w:rsidR="00A81B93" w:rsidRDefault="00A81B93" w:rsidP="00DD1F08">
      <w:pPr>
        <w:pStyle w:val="7"/>
        <w:rPr>
          <w:lang w:val="be-BY"/>
        </w:rPr>
      </w:pPr>
      <w:r>
        <w:rPr>
          <w:lang w:val="be-BY"/>
        </w:rPr>
        <w:t xml:space="preserve">Што датычыцца Расійскай Імперыі, то першапачаткова яна спрабавала пайсці па шляху прагібіцыянізму – крыміналізацыі прастытуцыі. Згодна з артыкулам 245 «Устава о предупреждении и пресечении преступлений» прастытуцыя забаранялася </w:t>
      </w:r>
      <w:r>
        <w:t>[</w:t>
      </w:r>
      <w:r>
        <w:rPr>
          <w:lang w:val="be-BY"/>
        </w:rPr>
        <w:t>9, с. 44</w:t>
      </w:r>
      <w:r>
        <w:t>]</w:t>
      </w:r>
      <w:r>
        <w:rPr>
          <w:lang w:val="be-BY"/>
        </w:rPr>
        <w:t>. Законам караліся як мужчыны-кліенты, якія штрафавалісь, так і прастытуткі, якіх павіны былі арэштаваць на перыяд ад тыдня да трох месяцаў [11, с. 522]. Тым не менш дзяржава не магла рэгуляваць сітуацыю: колькасць прастытутак не змяншалася, замест старых прыходзілі новыя, ды і венерычныя захворванні распаўсюджваліся ўсё больш. Таму каб стрымаць злашчасную сітуацію дзяржава павінна была зрабіць крокі ў бок легалізацыі</w:t>
      </w:r>
    </w:p>
    <w:p w14:paraId="13385AFF" w14:textId="77777777" w:rsidR="00A81B93" w:rsidRDefault="00A81B93" w:rsidP="00DD1F08">
      <w:pPr>
        <w:pStyle w:val="7"/>
        <w:rPr>
          <w:lang w:val="be-BY"/>
        </w:rPr>
      </w:pPr>
      <w:r>
        <w:rPr>
          <w:lang w:val="be-BY"/>
        </w:rPr>
        <w:t>З мэтай выкаранення венерычных захворванняў ў кастрычніку 1843 года ў Санкт-Пецярбургу быў створаны часовы ўрачэбна-паліцэйскі камітэт, які ў 1856 годзе стаў сталым органам [3, с. 80]. Пазней урачэбна-паліцэйскія камітэты сталі арганізоўваць і ў іншых гарадах Імперыі. Але дастаткова часта праз нястачу грошай замест урачэбна-паліцэйскага камітэту ў адніх гарадах нагляд за прастытуцыяй праводзілі гарадскія санітарыя камітэты, якія дзейнічалі самастойна ад паліцыі, у іншых ж – цалкам выканаўчая паліцыя [2, с. 80]. Так, напрыклад, у гарадах Гродзенскай губерні, і ў прыватнасці ў Брэсце, з 1867 года да пачатку ХХ ст. нагляд за прастыцуяй здзейснялі штатныя гарадавыя і павятовыя ўрачы і паліцэйскія чыны [4, л. 55]. І толькі ў 1913 годзе быў ўведзены ўрачэбна-паліцэйскі камітэт [6, л. 19].</w:t>
      </w:r>
    </w:p>
    <w:p w14:paraId="7407AA0C" w14:textId="77777777" w:rsidR="00A81B93" w:rsidRDefault="00A81B93" w:rsidP="00DD1F08">
      <w:pPr>
        <w:pStyle w:val="7"/>
        <w:rPr>
          <w:lang w:val="be-BY"/>
        </w:rPr>
      </w:pPr>
      <w:r>
        <w:rPr>
          <w:lang w:val="be-BY"/>
        </w:rPr>
        <w:t xml:space="preserve">29 мая 1844 года для Санкт-Пецярбурга былі ўсталяваны “Правила содержательницам борделей” і </w:t>
      </w:r>
      <w:bookmarkStart w:id="66" w:name="_Hlk162713801"/>
      <w:r>
        <w:rPr>
          <w:lang w:val="be-BY"/>
        </w:rPr>
        <w:t>“</w:t>
      </w:r>
      <w:bookmarkEnd w:id="66"/>
      <w:r>
        <w:rPr>
          <w:lang w:val="be-BY"/>
        </w:rPr>
        <w:t xml:space="preserve">Правила для публичных женщин”, якія пазней распаўсюдзіліся па ўсёй Расійскай імперыі [10, с. 76-78]. А ў пачатку ХХ ст., 8 кастрычніка 1903 года, было прынята “Положение об организации надзора за городской проституцией в Империи” </w:t>
      </w:r>
      <w:r>
        <w:t>[</w:t>
      </w:r>
      <w:r>
        <w:rPr>
          <w:lang w:val="be-BY"/>
        </w:rPr>
        <w:t>6, л. 15-17</w:t>
      </w:r>
      <w:r>
        <w:t>]</w:t>
      </w:r>
      <w:r>
        <w:rPr>
          <w:lang w:val="be-BY"/>
        </w:rPr>
        <w:t xml:space="preserve">. Згодна з гэтымі правіламі, а таксама цыркулярам міністра унутраных спраў 26 кастрычніка 1851 года ўсе прастыткукі падлягаліся паліцэйскаму нагляду: у гарадах </w:t>
      </w:r>
      <w:r>
        <w:rPr>
          <w:lang w:val="be-BY"/>
        </w:rPr>
        <w:lastRenderedPageBreak/>
        <w:t>абавязкова ствараліся спісы публічных жанчын, а ўсе прастытуткі павінны былі падвяргацца медыцынскаму дагляду [10, с. 75].</w:t>
      </w:r>
    </w:p>
    <w:p w14:paraId="65137E27" w14:textId="77777777" w:rsidR="00A81B93" w:rsidRDefault="00A81B93" w:rsidP="00DD1F08">
      <w:pPr>
        <w:pStyle w:val="7"/>
        <w:rPr>
          <w:lang w:val="be-BY"/>
        </w:rPr>
      </w:pPr>
      <w:r>
        <w:rPr>
          <w:lang w:val="be-BY"/>
        </w:rPr>
        <w:t xml:space="preserve">Медыцынскі агляд праводзіўся гарадавым і ваенным урачамі два разы на тыдні. Методыка агляду не была распрацавана, таму незаўсёды можна было выявіць, хварэе жанчына ці не. Акрамя таго дастаткова часта не было зручных для правядзення аглядаў памяшканняў, новых палепшаных інструментаў, што рабіла дагляд не вельмі эфектыўным. </w:t>
      </w:r>
    </w:p>
    <w:p w14:paraId="37DB784F" w14:textId="77777777" w:rsidR="00A81B93" w:rsidRDefault="00A81B93" w:rsidP="00DD1F08">
      <w:pPr>
        <w:pStyle w:val="7"/>
        <w:rPr>
          <w:lang w:val="be-BY"/>
        </w:rPr>
      </w:pPr>
      <w:r>
        <w:rPr>
          <w:lang w:val="be-BY"/>
        </w:rPr>
        <w:t xml:space="preserve">Урач пры кожным аглядзе складаў спіс, які сведчыў пра стан здароўя прастытутак. У ім адзначаліся імёны жанчын, дом, у якім яны знаходзіліся з імём уладальніка. Вельмі часта сустракаюцца і назвы вуліц, дзе знаходзіліся гэтыя памяшканні [7, л. 2]. Але больш ніякай інфармацыі пра публічных жанчын гэтая крыніца, на жаль, даць не можа: саслоўе і ўзрост жанчын указваецца вельмі рэдка, у залежнасці ад урача, а пра веравызнанне і, напрыклад, пра сямейна становішча няма ўвогуле дадзеных. </w:t>
      </w:r>
    </w:p>
    <w:p w14:paraId="79A335E1" w14:textId="77777777" w:rsidR="00A81B93" w:rsidRDefault="00A81B93" w:rsidP="00DD1F08">
      <w:pPr>
        <w:pStyle w:val="7"/>
        <w:rPr>
          <w:lang w:val="be-BY"/>
        </w:rPr>
      </w:pPr>
      <w:bookmarkStart w:id="67" w:name="_Hlk162726205"/>
      <w:r>
        <w:rPr>
          <w:lang w:val="be-BY"/>
        </w:rPr>
        <w:t xml:space="preserve">Калі жанчына была заражана венерычнай хваробай, яе адразу адпраўлялі ў лячэбніцу, дзе на яе складаўся білет, які пасля ўваходзіў у кнігу бальнічных лістоў [8]. Білеты выкарыстоўваліся для ўсіх грамадзян, незалежна ад іх пола і,  месца жыхарства і сферы дзейнасці. </w:t>
      </w:r>
    </w:p>
    <w:bookmarkEnd w:id="67"/>
    <w:p w14:paraId="0556E803" w14:textId="77777777" w:rsidR="00A81B93" w:rsidRDefault="00A81B93" w:rsidP="00DD1F08">
      <w:pPr>
        <w:pStyle w:val="7"/>
        <w:rPr>
          <w:lang w:val="be-BY"/>
        </w:rPr>
      </w:pPr>
      <w:r>
        <w:rPr>
          <w:lang w:val="be-BY"/>
        </w:rPr>
        <w:t>Білет складаўся з 9 пунктаў:</w:t>
      </w:r>
    </w:p>
    <w:p w14:paraId="720F6486" w14:textId="77777777" w:rsidR="00A81B93" w:rsidRDefault="00A81B93" w:rsidP="00DD1F08">
      <w:pPr>
        <w:pStyle w:val="7"/>
        <w:rPr>
          <w:rFonts w:eastAsia="Calibri"/>
          <w:lang w:val="be-BY"/>
        </w:rPr>
      </w:pPr>
      <w:r>
        <w:rPr>
          <w:rFonts w:eastAsia="Calibri"/>
          <w:lang w:val="be-BY"/>
        </w:rPr>
        <w:t>1. Саслоўе хворага;</w:t>
      </w:r>
    </w:p>
    <w:p w14:paraId="539053AD" w14:textId="77777777" w:rsidR="00A81B93" w:rsidRDefault="00A81B93" w:rsidP="00DD1F08">
      <w:pPr>
        <w:pStyle w:val="7"/>
        <w:rPr>
          <w:rFonts w:cstheme="minorBidi"/>
          <w:kern w:val="2"/>
          <w:szCs w:val="22"/>
          <w:lang w:val="be-BY"/>
          <w14:ligatures w14:val="standardContextual"/>
        </w:rPr>
      </w:pPr>
      <w:r>
        <w:rPr>
          <w:lang w:val="be-BY"/>
        </w:rPr>
        <w:t>2. Імя, імя па-бацьку, прозвішча і ўзрост;</w:t>
      </w:r>
    </w:p>
    <w:p w14:paraId="62E6FC5F" w14:textId="77777777" w:rsidR="00A81B93" w:rsidRDefault="00A81B93" w:rsidP="00DD1F08">
      <w:pPr>
        <w:pStyle w:val="7"/>
        <w:rPr>
          <w:lang w:val="be-BY"/>
        </w:rPr>
      </w:pPr>
      <w:r>
        <w:rPr>
          <w:lang w:val="be-BY"/>
        </w:rPr>
        <w:t>3. Сталае месца жыхарства;</w:t>
      </w:r>
    </w:p>
    <w:p w14:paraId="526CB143" w14:textId="77777777" w:rsidR="00A81B93" w:rsidRDefault="00A81B93" w:rsidP="00DD1F08">
      <w:pPr>
        <w:pStyle w:val="7"/>
        <w:rPr>
          <w:lang w:val="be-BY"/>
        </w:rPr>
      </w:pPr>
      <w:r>
        <w:rPr>
          <w:lang w:val="be-BY"/>
        </w:rPr>
        <w:t>4. Месца прапіскі;</w:t>
      </w:r>
    </w:p>
    <w:p w14:paraId="2ED92EA2" w14:textId="77777777" w:rsidR="00A81B93" w:rsidRDefault="00A81B93" w:rsidP="00DD1F08">
      <w:pPr>
        <w:pStyle w:val="7"/>
        <w:rPr>
          <w:lang w:val="be-BY"/>
        </w:rPr>
      </w:pPr>
      <w:r>
        <w:rPr>
          <w:lang w:val="be-BY"/>
        </w:rPr>
        <w:t>5. Калі хворы – ніжні воінскі чын, то калі выбыў з войска і па якому білету;</w:t>
      </w:r>
    </w:p>
    <w:p w14:paraId="5CDEC7C7" w14:textId="77777777" w:rsidR="00A81B93" w:rsidRDefault="00A81B93" w:rsidP="00DD1F08">
      <w:pPr>
        <w:pStyle w:val="7"/>
        <w:rPr>
          <w:lang w:val="be-BY"/>
        </w:rPr>
      </w:pPr>
      <w:r>
        <w:rPr>
          <w:lang w:val="be-BY"/>
        </w:rPr>
        <w:t>6. Калі жанчына паступіла з публічнага дома, то хто яго ўтрымлівае;</w:t>
      </w:r>
    </w:p>
    <w:p w14:paraId="69A30FB5" w14:textId="77777777" w:rsidR="00A81B93" w:rsidRDefault="00A81B93" w:rsidP="00DD1F08">
      <w:pPr>
        <w:pStyle w:val="7"/>
        <w:rPr>
          <w:lang w:val="be-BY"/>
        </w:rPr>
      </w:pPr>
      <w:r>
        <w:rPr>
          <w:lang w:val="be-BY"/>
        </w:rPr>
        <w:t>7. Калі хворы мае права на бясплатнае лячэнне, то на якой падставе;</w:t>
      </w:r>
    </w:p>
    <w:p w14:paraId="2F9E7A9B" w14:textId="77777777" w:rsidR="00A81B93" w:rsidRDefault="00A81B93" w:rsidP="00DD1F08">
      <w:pPr>
        <w:pStyle w:val="7"/>
        <w:rPr>
          <w:lang w:val="be-BY"/>
        </w:rPr>
      </w:pPr>
      <w:r>
        <w:rPr>
          <w:lang w:val="be-BY"/>
        </w:rPr>
        <w:t>8. Калі хворы мае нерухомую маёмасць, то якую і дзе;</w:t>
      </w:r>
    </w:p>
    <w:p w14:paraId="6DD25CB4" w14:textId="77777777" w:rsidR="00A81B93" w:rsidRDefault="00A81B93" w:rsidP="00DD1F08">
      <w:pPr>
        <w:pStyle w:val="7"/>
        <w:rPr>
          <w:lang w:val="be-BY"/>
        </w:rPr>
      </w:pPr>
      <w:r>
        <w:rPr>
          <w:lang w:val="be-BY"/>
        </w:rPr>
        <w:t>9. Калі хворы не назаве прыналежачай яму маёмасці, то вызначыць, якім чынам зарабляе сабе на жыццё.</w:t>
      </w:r>
    </w:p>
    <w:p w14:paraId="3A3B61C6" w14:textId="77777777" w:rsidR="00A81B93" w:rsidRDefault="00A81B93" w:rsidP="00DD1F08">
      <w:pPr>
        <w:pStyle w:val="7"/>
        <w:rPr>
          <w:lang w:val="be-BY"/>
        </w:rPr>
      </w:pPr>
      <w:r>
        <w:rPr>
          <w:lang w:val="be-BY"/>
        </w:rPr>
        <w:t>Такім чынам, гэтыя білеты могуць паведаміць пра некаторыя аспекты жыцця публічных жанчын. Так, напрыклад у кнізе бальнічных лістоў горада Брэста за 1908-1913 гады сустракаецца 17 білетаў, дзе адзначаны хворыя прастытуткі, пры гэтым  3 жанчыны трапляюцца двойчы. З 14 жанчын 5 – мяшчанак і 9 сялянак. З іх 6 знаходзілася ў публічных дамах (Публічны дом Карэнбмана на Збірычоўскай вуліцы, публічны дом Рухіі Гуштэнь на Шырокай вуліцы, публічны дом Фэйгі Пекаравай на Кобрынскай вуліцы, публічны дом Добы Глэйзер на Паліцэйскай вуліцы), 8 астатніх былі прастытукамі-адзіночкамі, адна з якіх займалася тайнай прастытуцыяй – 20-гадовая сялянка Ганна Іванаўна Тадор [8, л. 55].</w:t>
      </w:r>
    </w:p>
    <w:p w14:paraId="1322B07D" w14:textId="77777777" w:rsidR="00A81B93" w:rsidRDefault="00A81B93" w:rsidP="00DD1F08">
      <w:pPr>
        <w:pStyle w:val="7"/>
        <w:rPr>
          <w:lang w:val="be-BY"/>
        </w:rPr>
      </w:pPr>
      <w:r>
        <w:rPr>
          <w:lang w:val="be-BY"/>
        </w:rPr>
        <w:lastRenderedPageBreak/>
        <w:t>У білетах інфармацыі пра нацыяльнасць і пра веравызнання няма, але можна дапусціць па імёнах і прозвішчах, што Хася Меерава Рубін, Ідка Шэвель, а таксама ўладальніцы публічных дамоў Доба Глэйзер, Рухія Гуштэнь і Фэйга Пекарава – яўрэйкі і іўдзейкі, а, напрыклад, Марыя Максімаўна Гусева – руская праваслаўная, Эмілія Рудніцкая – полька і каталічка.</w:t>
      </w:r>
    </w:p>
    <w:p w14:paraId="34D970CB" w14:textId="77777777" w:rsidR="00A81B93" w:rsidRDefault="00A81B93" w:rsidP="00DD1F08">
      <w:pPr>
        <w:pStyle w:val="7"/>
        <w:rPr>
          <w:lang w:val="be-BY"/>
        </w:rPr>
      </w:pPr>
      <w:r>
        <w:rPr>
          <w:lang w:val="be-BY"/>
        </w:rPr>
        <w:t xml:space="preserve">Ўсе жанчыны, акрамя адной, брэсцкай мяшчанкі Эміліі Рудніцкай, мелі рэгістрацыю ў самых розных мясцінах: сустракаюцца як прастытуткі з Брэсцкага павету, так і з Люблінскай, Віленскай або, напрыклад, Валынскай губерній. Магчыма, што жанчыны пакідалі свой дом каб шукаць магчымасці рэалізаваць сябе ў жыцці і, не знайшоўшы іх, шукалі выхад у распусце. А магчыма, што яны адразу выязджалі з мэтаю заняцца прастытуцыяй дзе-небудзь далёка ад блізкіх, каб не было так сорамна. Ці жанчыны проста пераязджалі з ўсёй сям’ёй на новае месца, дзе прыходзілі да гэтай справы. Варыянтаў шмат, але факт застаецца фактам: амаль усе яны не з Брэста. </w:t>
      </w:r>
    </w:p>
    <w:p w14:paraId="14C8FD3B" w14:textId="77777777" w:rsidR="00A81B93" w:rsidRDefault="00A81B93" w:rsidP="00DD1F08">
      <w:pPr>
        <w:pStyle w:val="7"/>
        <w:rPr>
          <w:lang w:val="be-BY"/>
        </w:rPr>
      </w:pPr>
      <w:r>
        <w:rPr>
          <w:lang w:val="be-BY"/>
        </w:rPr>
        <w:t xml:space="preserve">Цікавым момантам з’яўляецца той факт, што сярэдні ўзрост жанчын 19,6 гадоў, пры гэтым самай старэйшай 23 гады, а самай малодшай – 16. Згодна з цыркулярам міністэрства ўнутраных спраў 6 чэрвеня 1901 года ў публічныя дамы не прымаліся жанчыны, якія не дасягнулі паўналецця – 21 года [5, л. 1 ад.]. Але негледзячы на забарону, як можна ўбачыць, у  публічных дамах спакойна знаходзіліся непаўналетнія. Так, напрыклад, 19-гадовая мяшчанка Еўдакія Аляксандраўна была ў публічным доме Дабы Глёзд [8, л. 6], а 18-гадовая сялянка Хася Меерава Рубін – ў публічным доме Фэйгі Пекаравай на Кобрынскай вуліцы [8, л. 8]. Трэба адзначыць, што ўтрымальніцы, у публічных дамах якіх знаходзіліся непаўналетнія, прыцягваліся да судзебнай адказнасці. Усе астатнія непаўналетнія былі прастытуткамі-адзіночкамі. </w:t>
      </w:r>
    </w:p>
    <w:p w14:paraId="7DA77FF8" w14:textId="77777777" w:rsidR="00A81B93" w:rsidRDefault="00A81B93" w:rsidP="00DD1F08">
      <w:pPr>
        <w:pStyle w:val="7"/>
        <w:rPr>
          <w:lang w:val="be-BY"/>
        </w:rPr>
      </w:pPr>
      <w:r>
        <w:rPr>
          <w:lang w:val="be-BY"/>
        </w:rPr>
        <w:t>Трэба удакладніць, што “Положение об организации надзора за городской проституцией в Империи” ад 8 кастрычніка 1903 года забараняла займацца распустай жанчынам, малодшым за 18-гадовы ўзрост: іх павінны былі адпраўляць да бацькоў. Тым не меньш гэтае правіла вельмі часта ігнаравалася. Так, напрыклад, у адном з бальнічных лістоў сустракаецца імя 16-гадовай сялянцы Марыі Антонаўнай Ланіцкай, якой прастытуцыяй дазволіла займацца паліцыя [8, л. 12]. Можна меркаваць, што дазвол яна атрымала праз напханне кішэняў паліцэйскіх чыноў грошамі.</w:t>
      </w:r>
    </w:p>
    <w:p w14:paraId="1DE54E7F" w14:textId="77777777" w:rsidR="00A81B93" w:rsidRDefault="00A81B93" w:rsidP="00DD1F08">
      <w:pPr>
        <w:pStyle w:val="7"/>
        <w:rPr>
          <w:lang w:val="be-BY"/>
        </w:rPr>
      </w:pPr>
      <w:r>
        <w:rPr>
          <w:lang w:val="be-BY"/>
        </w:rPr>
        <w:t xml:space="preserve">Згодна з цыркулярам міністра ўнутраных спраў 26 кастрычніка 1851 года ўсе жанчыны, якія занесены ў спіс прастытутак, атрымлівалі бясплатнае лячэнне [10, с. 75]. Хаця трэба ўдакладніць, што заканадаўствам 1903 года была пастаноўлена абавязковая плата ўтрымальніц бардэлей за лячэнне іх прастытутак, што, вядома, накладвалася даўгавым цяжарам на апошніх. Амаль у кожнай жанчыны насупраць 7 пункту білета “Калі хворы </w:t>
      </w:r>
      <w:r>
        <w:rPr>
          <w:lang w:val="be-BY"/>
        </w:rPr>
        <w:lastRenderedPageBreak/>
        <w:t>мае права на бясплатнае лячэнне то на якой падставе” напісана сцісла “мае”, бо падстава вынікала з заканадаўства. Ў некаторых, і ў большасці сваёй ў жанчын, якія ўтрымліваліся ў публічных дамах, на супраць 7 пункту не напісана нічога, але, па меркаванню аўтара, гэта ніяк не ўплывала на сітуацыю: дэ-юры, прастытуткі не плацілі за лячэнне, дэ-факта, – рабілі гэта праз утрымальніцу.</w:t>
      </w:r>
    </w:p>
    <w:p w14:paraId="01012C4B" w14:textId="77777777" w:rsidR="00A81B93" w:rsidRDefault="00A81B93" w:rsidP="00DD1F08">
      <w:pPr>
        <w:pStyle w:val="7"/>
        <w:rPr>
          <w:lang w:val="be-BY"/>
        </w:rPr>
      </w:pPr>
      <w:r>
        <w:rPr>
          <w:lang w:val="be-BY"/>
        </w:rPr>
        <w:t>Няма сумненняў, што за гэты перыяд захварэўшых прастытутак, якія трапілі ў лячэбніцу нашмат больш, нягледзячы на тое, што шмат жанчын пазбягала медыцынскія агляды, каб не страціць, хоць і часова сродкі да свайго існавання.</w:t>
      </w:r>
    </w:p>
    <w:p w14:paraId="250CD7AB" w14:textId="77777777" w:rsidR="00A81B93" w:rsidRDefault="00A81B93" w:rsidP="00DD1F08">
      <w:pPr>
        <w:pStyle w:val="7"/>
        <w:rPr>
          <w:lang w:val="be-BY"/>
        </w:rPr>
      </w:pPr>
      <w:r>
        <w:rPr>
          <w:lang w:val="be-BY"/>
        </w:rPr>
        <w:t xml:space="preserve">У беларускай навуцы па гэтай тэме выяўлена мала крыніц. Таму безумоўна, бальнічныя білеты з’яўляюцца вельмі цікавамі і карыснамі крыніцамі па вывучэнню прастытуцыі ў пэўнай мясцовасці, якія дазваляюць даследчыку </w:t>
      </w:r>
      <w:bookmarkStart w:id="68" w:name="_Hlk166790578"/>
      <w:r>
        <w:rPr>
          <w:lang w:val="be-BY"/>
        </w:rPr>
        <w:t>ўбачыць больш поўную карціну распаўсюджвання прастытуцыі, а дакладна жанчыны якіх узростаў, якіх саслоўях часцей займаліся гэтай справай, адкуль яны паходзілі і дзе ў выніку “спыніліся”.</w:t>
      </w:r>
      <w:bookmarkEnd w:id="68"/>
    </w:p>
    <w:p w14:paraId="78BA8B38" w14:textId="77777777" w:rsidR="00A81B93" w:rsidRDefault="00A81B93" w:rsidP="00DD1F08">
      <w:pPr>
        <w:pStyle w:val="7"/>
        <w:rPr>
          <w:lang w:val="be-BY"/>
        </w:rPr>
      </w:pPr>
    </w:p>
    <w:p w14:paraId="277BCF5B" w14:textId="53A9F0A5" w:rsidR="00A81B93" w:rsidRDefault="00A81B93" w:rsidP="006F6A4F">
      <w:pPr>
        <w:pStyle w:val="8"/>
        <w:numPr>
          <w:ilvl w:val="0"/>
          <w:numId w:val="20"/>
        </w:numPr>
        <w:ind w:left="0" w:firstLine="709"/>
      </w:pPr>
      <w:r>
        <w:t>Афанасьева, В. История проституции в России / В. Афанасьева // Девиантность и социальный контроль в России (XIX–ХХ вв.): тенденции и социологическое осмысление / Научное издание. – СПб.: Алетейя, 2000. – С, 318–362.</w:t>
      </w:r>
    </w:p>
    <w:p w14:paraId="53CE966C" w14:textId="7BA36171" w:rsidR="00A81B93" w:rsidRDefault="00A81B93" w:rsidP="006F6A4F">
      <w:pPr>
        <w:pStyle w:val="8"/>
        <w:numPr>
          <w:ilvl w:val="0"/>
          <w:numId w:val="20"/>
        </w:numPr>
        <w:ind w:left="0" w:firstLine="709"/>
      </w:pPr>
      <w:r>
        <w:t>Ильюхов, А. А. Правовое регулирование проституции в России в XIX – начале ХХ в. / А. А. Ильюхов // Государство и право. – 2009. – №12. – С. 76-85.</w:t>
      </w:r>
    </w:p>
    <w:p w14:paraId="376D8833" w14:textId="3296C8A3" w:rsidR="00A81B93" w:rsidRDefault="00A81B93" w:rsidP="006F6A4F">
      <w:pPr>
        <w:pStyle w:val="8"/>
        <w:numPr>
          <w:ilvl w:val="0"/>
          <w:numId w:val="20"/>
        </w:numPr>
        <w:ind w:left="0" w:firstLine="709"/>
      </w:pPr>
      <w:r>
        <w:t>Кузнецов, М. Г. Проституция и сифилис в России / М. Г. Кузнецов. – СПб.: Типография В. С. Балашева, 1871. – 177 с.</w:t>
      </w:r>
    </w:p>
    <w:p w14:paraId="000ED3A3" w14:textId="417F8B8E" w:rsidR="00A81B93" w:rsidRDefault="00A81B93" w:rsidP="006F6A4F">
      <w:pPr>
        <w:pStyle w:val="8"/>
        <w:numPr>
          <w:ilvl w:val="0"/>
          <w:numId w:val="20"/>
        </w:numPr>
        <w:ind w:left="0" w:firstLine="709"/>
      </w:pPr>
      <w:r>
        <w:t>Нацыянальны гістарычны архіў Беларусі ў г. Гродна (НГАБ у. г. Гродна).  – Ф. 9. – Воп. 1. – Спр. 72. Перапіска з медыцынскім вайсковым інспектарам аб распаўсюджванні і лячэнні эпізаатычных захворванняў  і ведамасці публічных жанчын.</w:t>
      </w:r>
    </w:p>
    <w:p w14:paraId="53D9D627" w14:textId="7895AFD7" w:rsidR="00A81B93" w:rsidRDefault="00A81B93" w:rsidP="006F6A4F">
      <w:pPr>
        <w:pStyle w:val="8"/>
        <w:numPr>
          <w:ilvl w:val="0"/>
          <w:numId w:val="20"/>
        </w:numPr>
        <w:ind w:left="0" w:firstLine="709"/>
      </w:pPr>
      <w:r>
        <w:t>НГАБ у г. Гродна. – Ф. 9. – Воп. 2. – Спр. 354. Справа па цыркуляру медыцынскага дэпартмаента міністэрства ўнутраных спраў аб прыёму ў публічныя дамы жанчын не маладзей 21 года.</w:t>
      </w:r>
    </w:p>
    <w:p w14:paraId="66F96A03" w14:textId="510B91AC" w:rsidR="00A81B93" w:rsidRDefault="00A81B93" w:rsidP="006F6A4F">
      <w:pPr>
        <w:pStyle w:val="8"/>
        <w:numPr>
          <w:ilvl w:val="0"/>
          <w:numId w:val="20"/>
        </w:numPr>
        <w:ind w:left="0" w:firstLine="709"/>
      </w:pPr>
      <w:r>
        <w:t>НГАБ у г. Гродна. – Фонд 9. – Воп. 4. – Спр. 155. Справа аб арганізацыі ўрачэбна-паліцэйскага камітэту для нагляда за гарадской прыстытуцыяй.</w:t>
      </w:r>
    </w:p>
    <w:p w14:paraId="0964E663" w14:textId="0791318E" w:rsidR="00A81B93" w:rsidRDefault="00A81B93" w:rsidP="006F6A4F">
      <w:pPr>
        <w:pStyle w:val="8"/>
        <w:numPr>
          <w:ilvl w:val="0"/>
          <w:numId w:val="20"/>
        </w:numPr>
        <w:ind w:left="0" w:firstLine="709"/>
      </w:pPr>
      <w:bookmarkStart w:id="69" w:name="_Hlk162741275"/>
      <w:r>
        <w:t xml:space="preserve">НГАБ у г. Гродна. – Ф. 9. – Воп. 6. – Спр. 143. </w:t>
      </w:r>
      <w:bookmarkEnd w:id="69"/>
      <w:r>
        <w:t>Ведамасці аб колькасці публічных жанчын па губерні.</w:t>
      </w:r>
    </w:p>
    <w:p w14:paraId="7EE709A6" w14:textId="67B109E3" w:rsidR="00A81B93" w:rsidRDefault="00A81B93" w:rsidP="006F6A4F">
      <w:pPr>
        <w:pStyle w:val="8"/>
        <w:numPr>
          <w:ilvl w:val="0"/>
          <w:numId w:val="20"/>
        </w:numPr>
        <w:ind w:left="0" w:firstLine="709"/>
      </w:pPr>
      <w:bookmarkStart w:id="70" w:name="_Hlk162741365"/>
      <w:r>
        <w:t xml:space="preserve">НГАБ у г. Гродна. – Ф. 674. – Воп. 4. – Спр. 4. </w:t>
      </w:r>
      <w:bookmarkEnd w:id="70"/>
      <w:r>
        <w:t>Кніга бальнічных лістоў.</w:t>
      </w:r>
    </w:p>
    <w:p w14:paraId="006A3386" w14:textId="1F7D8057" w:rsidR="00A81B93" w:rsidRDefault="00A81B93" w:rsidP="006F6A4F">
      <w:pPr>
        <w:pStyle w:val="8"/>
        <w:numPr>
          <w:ilvl w:val="0"/>
          <w:numId w:val="20"/>
        </w:numPr>
        <w:ind w:left="0" w:firstLine="709"/>
      </w:pPr>
      <w:r>
        <w:t xml:space="preserve">Свод законов Российской империи, издания 1857 года . Т. 14: Устав о предупреждении и пресечении преступлений. – СПб.: </w:t>
      </w:r>
      <w:bookmarkStart w:id="71" w:name="_Hlk162739808"/>
      <w:r>
        <w:t xml:space="preserve">Типография второго отделения собственной Его Императорского Величесвта Канцелярии, </w:t>
      </w:r>
      <w:bookmarkEnd w:id="71"/>
      <w:r>
        <w:t>1857. – 100 с.</w:t>
      </w:r>
    </w:p>
    <w:p w14:paraId="054745DE" w14:textId="00DF6471" w:rsidR="00A81B93" w:rsidRDefault="00A81B93" w:rsidP="006F6A4F">
      <w:pPr>
        <w:pStyle w:val="8"/>
        <w:numPr>
          <w:ilvl w:val="0"/>
          <w:numId w:val="20"/>
        </w:numPr>
        <w:ind w:left="0" w:firstLine="709"/>
      </w:pPr>
      <w:r>
        <w:t>Свод узаконений и распоряжений правительства по врачебной и санитарной части в Империи / Под ред. Л. Ф. Рагозина. – СПб.: Мед. деп., 1895. – Вып. 1. – 1895 – 1896. – VIII, 403, 272 с.</w:t>
      </w:r>
    </w:p>
    <w:p w14:paraId="1A50133E" w14:textId="120A9A5C" w:rsidR="00A81B93" w:rsidRDefault="00A81B93" w:rsidP="006F6A4F">
      <w:pPr>
        <w:pStyle w:val="8"/>
        <w:numPr>
          <w:ilvl w:val="0"/>
          <w:numId w:val="20"/>
        </w:numPr>
        <w:ind w:left="0" w:firstLine="709"/>
      </w:pPr>
      <w:r>
        <w:t>Уложение о наказаниях уголовных и исправительных. – СПб.: Типография второго отделения собственной Его Императорского Величесвта Канцелярии, 1845. – 909 с.</w:t>
      </w:r>
    </w:p>
    <w:p w14:paraId="40157BC1" w14:textId="2403C739" w:rsidR="0049132B" w:rsidRDefault="000C69B3" w:rsidP="002E73F9">
      <w:pPr>
        <w:spacing w:after="0" w:line="240" w:lineRule="auto"/>
        <w:jc w:val="center"/>
        <w:rPr>
          <w:rFonts w:ascii="Times New Roman" w:hAnsi="Times New Roman" w:cs="Times New Roman"/>
          <w:sz w:val="28"/>
          <w:szCs w:val="28"/>
          <w:lang w:val="be-BY"/>
        </w:rPr>
      </w:pPr>
      <w:hyperlink w:anchor="_СОДЕРЖАНИЕ" w:history="1">
        <w:r w:rsidR="0049132B" w:rsidRPr="009D63FE">
          <w:rPr>
            <w:rStyle w:val="a9"/>
            <w:rFonts w:ascii="Times New Roman" w:hAnsi="Times New Roman" w:cs="Times New Roman"/>
            <w:i/>
            <w:color w:val="auto"/>
            <w:sz w:val="28"/>
            <w:szCs w:val="28"/>
            <w:u w:val="none"/>
            <w:lang w:val="be-BY"/>
          </w:rPr>
          <w:t>К содержанию</w:t>
        </w:r>
      </w:hyperlink>
    </w:p>
    <w:p w14:paraId="17A99DC9" w14:textId="69970497" w:rsidR="00DD1F08" w:rsidRPr="00C37D12" w:rsidRDefault="00DD1F08" w:rsidP="00DD1F08">
      <w:pPr>
        <w:pStyle w:val="12"/>
        <w:rPr>
          <w:lang w:val="ru-RU"/>
        </w:rPr>
      </w:pPr>
      <w:r>
        <w:lastRenderedPageBreak/>
        <w:t>УДК</w:t>
      </w:r>
      <w:r w:rsidR="00C37D12">
        <w:rPr>
          <w:lang w:val="ru-RU"/>
        </w:rPr>
        <w:t xml:space="preserve"> 94(476.6)</w:t>
      </w:r>
    </w:p>
    <w:p w14:paraId="3D4FC49E" w14:textId="77777777" w:rsidR="00DD1F08" w:rsidRDefault="00DD1F08" w:rsidP="00DD1F08">
      <w:pPr>
        <w:pStyle w:val="14"/>
      </w:pPr>
      <w:bookmarkStart w:id="72" w:name="_Toc181884608"/>
      <w:bookmarkStart w:id="73" w:name="_Toc181894100"/>
      <w:r>
        <w:t>К. В. Жуковский</w:t>
      </w:r>
      <w:bookmarkEnd w:id="72"/>
      <w:bookmarkEnd w:id="73"/>
      <w:r>
        <w:t xml:space="preserve"> </w:t>
      </w:r>
    </w:p>
    <w:p w14:paraId="6116F678" w14:textId="63C950C1" w:rsidR="00DD1F08" w:rsidRDefault="00DD1F08" w:rsidP="00DD1F08">
      <w:pPr>
        <w:pStyle w:val="3"/>
      </w:pPr>
      <w:r>
        <w:t>Гродно, ГрГУ им. Янки Купалы</w:t>
      </w:r>
    </w:p>
    <w:p w14:paraId="48FA3A40" w14:textId="3363B188" w:rsidR="00DD1F08" w:rsidRDefault="00DD1F08" w:rsidP="00DD1F08">
      <w:pPr>
        <w:pStyle w:val="7"/>
        <w:rPr>
          <w:i/>
        </w:rPr>
      </w:pPr>
      <w:r>
        <w:rPr>
          <w:i/>
        </w:rPr>
        <w:t>Научный руководитель: Э. С. Ярмусик,</w:t>
      </w:r>
      <w:r>
        <w:t xml:space="preserve"> </w:t>
      </w:r>
      <w:r>
        <w:rPr>
          <w:i/>
        </w:rPr>
        <w:t>д.и.н., профессор</w:t>
      </w:r>
    </w:p>
    <w:p w14:paraId="129E8879" w14:textId="77777777" w:rsidR="00DD1F08" w:rsidRDefault="00DD1F08" w:rsidP="00DD1F08">
      <w:pPr>
        <w:pStyle w:val="7"/>
        <w:rPr>
          <w:i/>
        </w:rPr>
      </w:pPr>
    </w:p>
    <w:p w14:paraId="42998F3A" w14:textId="77777777" w:rsidR="00DD1F08" w:rsidRDefault="00DD1F08" w:rsidP="00DD1F08">
      <w:pPr>
        <w:pStyle w:val="5"/>
      </w:pPr>
      <w:r>
        <w:t>ВЫБОРЫ В МЕСТНЫЕ СОВЕТЫ ДЕПУТАТОВ ТРУДЯЩИХСЯ НА ЛИДЧИНЕ В 1940 Г.</w:t>
      </w:r>
    </w:p>
    <w:p w14:paraId="18188614" w14:textId="77777777" w:rsidR="00DD1F08" w:rsidRDefault="00DD1F08" w:rsidP="00DD1F08">
      <w:pPr>
        <w:pStyle w:val="7"/>
        <w:rPr>
          <w:b/>
        </w:rPr>
      </w:pPr>
    </w:p>
    <w:p w14:paraId="7FDC7737" w14:textId="77777777" w:rsidR="00DD1F08" w:rsidRDefault="00DD1F08" w:rsidP="005600EC">
      <w:pPr>
        <w:pStyle w:val="6"/>
      </w:pPr>
      <w:r>
        <w:t>В данном докладе рассматриваются мероприятия, действия населения, связанные с проведением выборов в местные советы. В докладе присутствует описание процесса выборов.</w:t>
      </w:r>
    </w:p>
    <w:p w14:paraId="47D683E6" w14:textId="77777777" w:rsidR="00DD1F08" w:rsidRDefault="00DD1F08" w:rsidP="00DD1F08">
      <w:pPr>
        <w:pStyle w:val="7"/>
      </w:pPr>
    </w:p>
    <w:p w14:paraId="0B8EDF68" w14:textId="77777777" w:rsidR="00DD1F08" w:rsidRDefault="00DD1F08" w:rsidP="00DD1F08">
      <w:pPr>
        <w:pStyle w:val="7"/>
      </w:pPr>
      <w:r>
        <w:t xml:space="preserve">17 сентября 1939 года стало поворотным событием в истории Лидчины. Связано это было с установлением советской власти. Об этих событиях писали советские газеты. Остались они и в памяти очевидцев. Так, И.Г. Корабельник, М.Т. Рачкевич, жители г. Лиды, вспоминали: «Ночью с 17 на 18 сентября на углу современных улиц Калинина (Грюнвальдской) была установлена триумфальная арка для встречи Красной Армии. На протяжении ночи город был украшен транспарантами и флагами. Люди сидели около радиоприемников, слушали Москву».  «Утром 18 сентября около автобусной станции (у замка) сформировалась колонна демонстрантов. Горожане с цветами, красными флагами и песнями пошли навстречу Красной Армии в направлении с. Етки. Встреча произошла около д. Минойты. Обратно в город демонстранты вернулись с частями Красной Армии» [5].  </w:t>
      </w:r>
    </w:p>
    <w:p w14:paraId="031D4BE3" w14:textId="77777777" w:rsidR="00DD1F08" w:rsidRDefault="00DD1F08" w:rsidP="00DD1F08">
      <w:pPr>
        <w:pStyle w:val="7"/>
      </w:pPr>
      <w:r>
        <w:t>С установлением в Западной Беларуси советской власти произошли существенные изменения в общественно – политической жизни. Одним из важных мероприятий стали выборы в местные и областные Советы депутатов трудящихся.</w:t>
      </w:r>
    </w:p>
    <w:p w14:paraId="15F4F24C" w14:textId="77777777" w:rsidR="00DD1F08" w:rsidRDefault="00DD1F08" w:rsidP="00DD1F08">
      <w:pPr>
        <w:pStyle w:val="7"/>
      </w:pPr>
      <w:r>
        <w:t>Большое значение придавалось массово – политической работе среди широких слоев населения. Усилиями советских пропагандистов и агитаторов был разработан примерный план по изучению Конституции СССР и Закона о выборах. На протяжении семи занятий в коллективах изучалось государственное устройство СССР и БССР, полномочия Верховного Совета СССР и БССР, образование избирательных округов, принцип формирования избирательных комиссий, порядок выдвижения кандидатов и порядок голосования, подведение итогов выборов [6, с.126].</w:t>
      </w:r>
    </w:p>
    <w:p w14:paraId="7100153E" w14:textId="77777777" w:rsidR="00DD1F08" w:rsidRDefault="00DD1F08" w:rsidP="00DD1F08">
      <w:pPr>
        <w:pStyle w:val="7"/>
      </w:pPr>
      <w:r>
        <w:t>Как свидетельствуют документы, подготовка к выборам шла масштабная. Так, в записке «О состоянии агитационно-массовой работы среди рабочих лесопильного завода им. Дзержинского» отмечалось, что «во время избирательной компании по выборам в местные советы депутатов трудящихся на заводе с рабочими регулярно проводились занятия» [3, л. 1].</w:t>
      </w:r>
    </w:p>
    <w:p w14:paraId="2B3BCEE1" w14:textId="77777777" w:rsidR="00DD1F08" w:rsidRDefault="00DD1F08" w:rsidP="00DD1F08">
      <w:pPr>
        <w:pStyle w:val="7"/>
      </w:pPr>
      <w:r>
        <w:lastRenderedPageBreak/>
        <w:t>Первые выборы в Верховный Совет СССР и Верховный Совет БССР, состоялись 24 марта 1940 г. От трудящихся Лидчины были избраны в высший орган власти – Верховный Совет СССР – Р.И. Сержант, в Совет Национальностей - Н.Н. Черник. В Верховный Совет БССР от города стала депутатом рабочая фабрики "Ардаль" Б. Г. Козловская, от района - А.П. Осадчий и И.Д. Луцевич (Янка Купала) [7, с. 159].</w:t>
      </w:r>
    </w:p>
    <w:p w14:paraId="307C622F" w14:textId="77777777" w:rsidR="00DD1F08" w:rsidRDefault="00DD1F08" w:rsidP="00DD1F08">
      <w:pPr>
        <w:pStyle w:val="7"/>
      </w:pPr>
      <w:r>
        <w:t>15 декабря 1940 г. состоялись выборы в местные Советы депутатов трудящихся, завершившие процесс создания советских органов власти на местах. Жители Лиды в областной Совет депутатов трудящихся избрали Ф. А. Баранова, Е.И. Гладышева и Ф.С. Филипчика, трудящиеся района выдвинули в областной совет Елену Михайловну Маньковскую, дочь революционера. Когда пришла советская власть, Елена в числе первых вступила в колхоз, затем стала заместителем председателя Неманского сельского совета. Судьба её трагична. В 1941 г. её вместе с другими активистами схватили фашисты и после пыток расстреляли [7, с. 159].</w:t>
      </w:r>
    </w:p>
    <w:p w14:paraId="2ECF73C0" w14:textId="77777777" w:rsidR="00DD1F08" w:rsidRDefault="00DD1F08" w:rsidP="00DD1F08">
      <w:pPr>
        <w:pStyle w:val="7"/>
      </w:pPr>
      <w:r>
        <w:t xml:space="preserve">О том, как велась подготовка к выборам, свидетельствуют документы того времени. Так, в «Информации о проведении выборов в областные и местные советы по </w:t>
      </w:r>
      <w:r>
        <w:rPr>
          <w:lang w:val="en-US"/>
        </w:rPr>
        <w:t>II</w:t>
      </w:r>
      <w:r>
        <w:t xml:space="preserve"> избирательному участку» говорится следующее: «Накануне 14 декабря было проведено последнее инструктивное совещание по вопросу практической работы на закрепленных участках в день выборов. Всего было внесено в список избирателей 812, из них выбыло 77 человек (по разным причинам). Всего избирателей, получивших бюллетени 747, явилось на участок 747 (100% явка)» [1, л.66-67].</w:t>
      </w:r>
    </w:p>
    <w:p w14:paraId="67985BF2" w14:textId="77777777" w:rsidR="00DD1F08" w:rsidRDefault="00DD1F08" w:rsidP="00DD1F08">
      <w:pPr>
        <w:pStyle w:val="7"/>
      </w:pPr>
      <w:r>
        <w:t>В том же документе говорится о том, как проходило голосование: «Для прихода избирателей были созданы благоприятные условия: свободный зал, где можно было слушать музыку, организация танцев, ответы на разные вопросы от политбеседчиков. С 6 часов вечера для избирателей был организован вечер выступления художественной самодеятельности» [1, л.66-67].</w:t>
      </w:r>
    </w:p>
    <w:p w14:paraId="5B0C52E4" w14:textId="77777777" w:rsidR="00DD1F08" w:rsidRDefault="00DD1F08" w:rsidP="00DD1F08">
      <w:pPr>
        <w:pStyle w:val="7"/>
      </w:pPr>
      <w:r>
        <w:t>Однако не все было идеально в подготовке выборов. В спецсообщении «О ходе подготовки к выборам в местные советы» говорится: «Один из организаторов повстанческих групп –  Шашко Игнатий Осипович, дал установку при выборах в местные советы – выдвигать своих людей, давая отвод выставленным кандидатам. Отмечены также факты разжигания межнациональной розни против евреев. Житель г. Лида Шот на собрании среди избирателей говорил, что в Городской совет не нужно проводить евреев – они спекулянты» [2, л.138-139].</w:t>
      </w:r>
    </w:p>
    <w:p w14:paraId="02D4D7F6" w14:textId="77777777" w:rsidR="00DD1F08" w:rsidRDefault="00DD1F08" w:rsidP="00DD1F08">
      <w:pPr>
        <w:pStyle w:val="7"/>
      </w:pPr>
      <w:r>
        <w:t xml:space="preserve">В сообщении «Об итогах избирательной кампании по Лидскому району» говорится: «Отличительной особенностью нынешней кампании являлось, то что по количеству она не имела в себе равной. Было создано 50 участковых комиссий, 6 окружных комиссий. Враждебные элементы </w:t>
      </w:r>
      <w:r>
        <w:lastRenderedPageBreak/>
        <w:t xml:space="preserve">пытались протаскивать свои кандидатуры в Аполинском сельсовете, в Лидском сельсовете. Чрезвычайно интересные события развернулись вокруг избирательной кампании в местечке Белица. В этом местечке чрезвычайно сложный национальный перерплет и тут враждебные элементы пытались действовать давно испытанным и знакомым им методом, т.е. перессорить трудящихся различных национальностей, проживающих в этом местечке. Полякам и белорусам говорилось: «не голосуйте за кандидатов евреев», они все спекулянты и евреям говорилось, «не голосуйте за кандидатов белоруссов и поляков, ибо они все погромщики [4, л.112]. «Выборы показали сплоченность трудящихся вокруг партии большевиков, показали политический рост трудящихся. Лидская райпарторганизация отлично поработала на выборах. Создан большой актив» [4, л.117]. </w:t>
      </w:r>
    </w:p>
    <w:p w14:paraId="3A6DB7C2" w14:textId="77777777" w:rsidR="00DD1F08" w:rsidRDefault="00DD1F08" w:rsidP="00DD1F08">
      <w:pPr>
        <w:pStyle w:val="7"/>
      </w:pPr>
      <w:r>
        <w:t>Однако нельзя говорить о том, что всё население района и города позитивно отнеслись к выборам. Сказались пропольские и антисоветские настроения, что проявилось в наличии испорченных бюллетеней, в неявке на выборы некоторых избирателей, в надписях на бюллетенях антисоветского содержания [6, с.132].</w:t>
      </w:r>
    </w:p>
    <w:p w14:paraId="1E2F5A95" w14:textId="77777777" w:rsidR="00DD1F08" w:rsidRDefault="00DD1F08" w:rsidP="00DD1F08">
      <w:pPr>
        <w:pStyle w:val="7"/>
      </w:pPr>
      <w:r>
        <w:t xml:space="preserve">Таким образом, выборы дали возможность населению Лидчины принять участие в решении судьбы родного края. Партийные и советские органы проводили большую предвыборную агитацию, разъясняя населению важность этого важного государственного мероприятия.  Выборы завершили процесс становления советской власти на территории западных областей Беларуси. </w:t>
      </w:r>
    </w:p>
    <w:p w14:paraId="19B2CD17" w14:textId="77777777" w:rsidR="00DD1F08" w:rsidRDefault="00DD1F08" w:rsidP="00DD1F08">
      <w:pPr>
        <w:pStyle w:val="7"/>
      </w:pPr>
    </w:p>
    <w:p w14:paraId="7E15F668" w14:textId="77777777" w:rsidR="005600EC" w:rsidRDefault="005600EC" w:rsidP="00DD1F08">
      <w:pPr>
        <w:pStyle w:val="7"/>
      </w:pPr>
    </w:p>
    <w:p w14:paraId="7B729F5A" w14:textId="77777777" w:rsidR="00DD1F08" w:rsidRDefault="00DD1F08" w:rsidP="006F6A4F">
      <w:pPr>
        <w:pStyle w:val="8"/>
        <w:numPr>
          <w:ilvl w:val="0"/>
          <w:numId w:val="21"/>
        </w:numPr>
        <w:ind w:left="0" w:firstLine="709"/>
      </w:pPr>
      <w:r>
        <w:t>Государственный архив общественных объединений Гродненской области (далее ГАОО Гродненской области) – Ф.9. Оп.33. Д.135.</w:t>
      </w:r>
    </w:p>
    <w:p w14:paraId="77584224" w14:textId="77777777" w:rsidR="00DD1F08" w:rsidRDefault="00DD1F08" w:rsidP="006F6A4F">
      <w:pPr>
        <w:pStyle w:val="8"/>
        <w:numPr>
          <w:ilvl w:val="0"/>
          <w:numId w:val="21"/>
        </w:numPr>
        <w:ind w:left="0" w:firstLine="709"/>
      </w:pPr>
      <w:r>
        <w:t xml:space="preserve">ГАОО Гродненской области.  Ф.9. Оп.33. Д.23. </w:t>
      </w:r>
    </w:p>
    <w:p w14:paraId="0FEE686D" w14:textId="77777777" w:rsidR="00DD1F08" w:rsidRDefault="00DD1F08" w:rsidP="006F6A4F">
      <w:pPr>
        <w:pStyle w:val="8"/>
        <w:numPr>
          <w:ilvl w:val="0"/>
          <w:numId w:val="21"/>
        </w:numPr>
        <w:ind w:left="0" w:firstLine="709"/>
      </w:pPr>
      <w:r>
        <w:t>ГАОО Гродненской области. Ф. 9. Оп. 33. Д. 133.</w:t>
      </w:r>
    </w:p>
    <w:p w14:paraId="4828CF20" w14:textId="77777777" w:rsidR="00DD1F08" w:rsidRPr="005600EC" w:rsidRDefault="00DD1F08" w:rsidP="006F6A4F">
      <w:pPr>
        <w:pStyle w:val="8"/>
        <w:numPr>
          <w:ilvl w:val="0"/>
          <w:numId w:val="21"/>
        </w:numPr>
        <w:ind w:left="0" w:firstLine="709"/>
        <w:rPr>
          <w:szCs w:val="22"/>
        </w:rPr>
      </w:pPr>
      <w:r>
        <w:t>ГАОО Гродненской области. Ф.9. Оп.33. Д.13.</w:t>
      </w:r>
    </w:p>
    <w:p w14:paraId="609EDAEF" w14:textId="77777777" w:rsidR="00DD1F08" w:rsidRDefault="00DD1F08" w:rsidP="006F6A4F">
      <w:pPr>
        <w:pStyle w:val="8"/>
        <w:numPr>
          <w:ilvl w:val="0"/>
          <w:numId w:val="21"/>
        </w:numPr>
        <w:ind w:left="0" w:firstLine="709"/>
      </w:pPr>
      <w:r>
        <w:t>Королевич, Е. Объединение Западной Беларуси и БССР. Как это было?/ Е. Королевич // Лидская газета. [Электронный ресурс]. – Режим доступа: https://lidanews.by/news/god-istoricheskoy-pamyati/26703news.html. – Дата доступа: 17.05.2024.</w:t>
      </w:r>
    </w:p>
    <w:p w14:paraId="4941FAA2" w14:textId="77777777" w:rsidR="00DD1F08" w:rsidRDefault="00DD1F08" w:rsidP="006F6A4F">
      <w:pPr>
        <w:pStyle w:val="8"/>
        <w:numPr>
          <w:ilvl w:val="0"/>
          <w:numId w:val="21"/>
        </w:numPr>
        <w:ind w:left="0" w:firstLine="709"/>
      </w:pPr>
      <w:r>
        <w:t>Курьянович, А. В. Выборы в высшие органы государственной власти в Западной Белоруссии в 1940 году как элемент советизации региона /А. В. Курьянович // Вест. ВолГУ. Сер. 4, Ист. Регионовед. Межд. отн. – 2017. – Т.22, №1. – С.124 – 134.</w:t>
      </w:r>
    </w:p>
    <w:p w14:paraId="033903B4" w14:textId="77777777" w:rsidR="00DD1F08" w:rsidRDefault="00DD1F08" w:rsidP="006F6A4F">
      <w:pPr>
        <w:pStyle w:val="8"/>
        <w:numPr>
          <w:ilvl w:val="0"/>
          <w:numId w:val="21"/>
        </w:numPr>
        <w:ind w:left="0" w:firstLine="709"/>
      </w:pPr>
      <w:r>
        <w:t>Памяць : Ліда. Лідскі р-н : Гіст.-дак. хронікі гарадоў і р-наў Беларусі / Рэдкал.: В. Г.Баранаў і інш.; Маст.Э. Э.Жакевіч. – Мн. : Беларусь, 2004.–566 с.</w:t>
      </w:r>
    </w:p>
    <w:p w14:paraId="32A963A4" w14:textId="77777777" w:rsidR="00D921A5" w:rsidRPr="0097408C" w:rsidRDefault="00D921A5" w:rsidP="00473095">
      <w:pPr>
        <w:pStyle w:val="7"/>
        <w:rPr>
          <w:lang w:val="be-BY"/>
        </w:rPr>
      </w:pPr>
    </w:p>
    <w:p w14:paraId="1B049979" w14:textId="4E807F88" w:rsidR="009A7D6C" w:rsidRPr="009D63FE" w:rsidRDefault="000C69B3" w:rsidP="00E25B19">
      <w:pPr>
        <w:pStyle w:val="Standard"/>
        <w:jc w:val="center"/>
        <w:rPr>
          <w:i/>
          <w:lang w:val="be-BY"/>
        </w:rPr>
      </w:pPr>
      <w:hyperlink w:anchor="_СОДЕРЖАНИЕ" w:history="1">
        <w:r w:rsidR="009A7D6C" w:rsidRPr="009D63FE">
          <w:rPr>
            <w:rStyle w:val="a9"/>
            <w:rFonts w:ascii="Times New Roman" w:hAnsi="Times New Roman" w:cs="Times New Roman"/>
            <w:i/>
            <w:color w:val="auto"/>
            <w:sz w:val="28"/>
            <w:szCs w:val="28"/>
            <w:u w:val="none"/>
            <w:lang w:val="be-BY"/>
          </w:rPr>
          <w:t>К содержанию</w:t>
        </w:r>
      </w:hyperlink>
    </w:p>
    <w:p w14:paraId="49E42609" w14:textId="77777777" w:rsidR="00442FA2" w:rsidRDefault="00442FA2" w:rsidP="00E25B19">
      <w:pPr>
        <w:spacing w:after="0" w:line="240" w:lineRule="auto"/>
        <w:jc w:val="both"/>
        <w:rPr>
          <w:rFonts w:ascii="Times New Roman" w:hAnsi="Times New Roman" w:cs="Times New Roman"/>
          <w:bCs/>
          <w:sz w:val="28"/>
          <w:szCs w:val="28"/>
          <w:lang w:val="be-BY"/>
        </w:rPr>
      </w:pPr>
    </w:p>
    <w:p w14:paraId="56117A07" w14:textId="77777777" w:rsidR="00F044A4" w:rsidRDefault="00F044A4" w:rsidP="00F044A4">
      <w:pPr>
        <w:pStyle w:val="12"/>
      </w:pPr>
      <w:r>
        <w:lastRenderedPageBreak/>
        <w:t>УДК 94(476)“1941/44”</w:t>
      </w:r>
    </w:p>
    <w:p w14:paraId="6D88C665" w14:textId="51C943C5" w:rsidR="00F044A4" w:rsidRDefault="00F044A4" w:rsidP="00F044A4">
      <w:pPr>
        <w:pStyle w:val="14"/>
      </w:pPr>
      <w:bookmarkStart w:id="74" w:name="_Toc181884609"/>
      <w:bookmarkStart w:id="75" w:name="_Toc181894101"/>
      <w:r>
        <w:t>П.А. ГАЎРЫЛЮК</w:t>
      </w:r>
      <w:bookmarkEnd w:id="74"/>
      <w:bookmarkEnd w:id="75"/>
      <w:r>
        <w:t xml:space="preserve"> </w:t>
      </w:r>
    </w:p>
    <w:p w14:paraId="77834125" w14:textId="0C39B2F4" w:rsidR="00F044A4" w:rsidRDefault="00F044A4" w:rsidP="00F044A4">
      <w:pPr>
        <w:pStyle w:val="3"/>
        <w:rPr>
          <w:lang w:val="be-BY"/>
        </w:rPr>
      </w:pPr>
      <w:r>
        <w:rPr>
          <w:lang w:val="be-BY"/>
        </w:rPr>
        <w:t>Брэст, БрДУ імя А.С. Пушкіна</w:t>
      </w:r>
    </w:p>
    <w:p w14:paraId="01672A25" w14:textId="00355659" w:rsidR="00F044A4" w:rsidRDefault="00F044A4" w:rsidP="00F044A4">
      <w:pPr>
        <w:pStyle w:val="4"/>
      </w:pPr>
      <w:r>
        <w:t>Навуковы кіраўнік: Я.С. Разэнблат, к.г.н., дацэнт</w:t>
      </w:r>
    </w:p>
    <w:p w14:paraId="6DC89119" w14:textId="77777777" w:rsidR="00F044A4" w:rsidRDefault="00F044A4" w:rsidP="00F044A4">
      <w:pPr>
        <w:spacing w:after="0"/>
        <w:ind w:firstLine="709"/>
        <w:jc w:val="both"/>
        <w:rPr>
          <w:i/>
          <w:iCs/>
          <w:lang w:val="be-BY"/>
        </w:rPr>
      </w:pPr>
    </w:p>
    <w:p w14:paraId="42736D1C" w14:textId="363FEBB2" w:rsidR="00F044A4" w:rsidRDefault="00F044A4" w:rsidP="00F044A4">
      <w:pPr>
        <w:pStyle w:val="5"/>
        <w:rPr>
          <w:lang w:val="be-BY"/>
        </w:rPr>
      </w:pPr>
      <w:r>
        <w:rPr>
          <w:lang w:val="be-BY"/>
        </w:rPr>
        <w:t xml:space="preserve">НАЦЫЯНАЛЬНЫЯ КАМІТЭТЫ САМАДАПАМОГІ Ў СІСТЭМЕ АКУПАЦЫЙНАГА РЭЖЫМУ ГОРАДА БРЭСТА </w:t>
      </w:r>
      <w:r>
        <w:rPr>
          <w:lang w:val="be-BY"/>
        </w:rPr>
        <w:br/>
        <w:t>Ў 1941–1944 ГГ.</w:t>
      </w:r>
    </w:p>
    <w:p w14:paraId="612DA84E" w14:textId="77777777" w:rsidR="00F044A4" w:rsidRDefault="00F044A4" w:rsidP="00F044A4">
      <w:pPr>
        <w:spacing w:after="0"/>
        <w:ind w:firstLine="709"/>
        <w:jc w:val="center"/>
        <w:rPr>
          <w:b/>
          <w:bCs/>
          <w:lang w:val="be-BY"/>
        </w:rPr>
      </w:pPr>
    </w:p>
    <w:p w14:paraId="2F9EB013" w14:textId="77777777" w:rsidR="00F044A4" w:rsidRDefault="00F044A4" w:rsidP="0005467F">
      <w:pPr>
        <w:pStyle w:val="6"/>
      </w:pPr>
      <w:r>
        <w:t>У дадзеным дакладзе апісана і прааналізавана дзейнасць нацыянальных камітэтаў самадапамогі, якія існавалі ў горадзе Брэсце падчас нямецкай акупацыі 1941–1944 гадоў.</w:t>
      </w:r>
    </w:p>
    <w:p w14:paraId="75D5866A" w14:textId="77777777" w:rsidR="00F044A4" w:rsidRDefault="00F044A4" w:rsidP="00F044A4">
      <w:pPr>
        <w:spacing w:after="0"/>
        <w:ind w:firstLine="709"/>
        <w:jc w:val="both"/>
        <w:rPr>
          <w:sz w:val="28"/>
          <w:szCs w:val="28"/>
          <w:lang w:val="be-BY"/>
        </w:rPr>
      </w:pPr>
    </w:p>
    <w:p w14:paraId="1B929595" w14:textId="77777777" w:rsidR="00F044A4" w:rsidRDefault="00F044A4" w:rsidP="0005467F">
      <w:pPr>
        <w:pStyle w:val="7"/>
        <w:rPr>
          <w:lang w:val="be-BY"/>
        </w:rPr>
      </w:pPr>
      <w:r>
        <w:rPr>
          <w:lang w:val="be-BY"/>
        </w:rPr>
        <w:t>Падчас нацысцкай акупацыі 1941–1944 гадоў горад Брэст быў часткай рэйхскамісарыята «Украіна» генеральнай акругі Валынь-Падолія [10]. На дадзенай тэрыторыі планавалася праводзіць вельмі актыўную нацыянальную палітыку. Адным з яе праяўленняў было стварэнне нацыянальных камітэтаў самадапамогі.</w:t>
      </w:r>
    </w:p>
    <w:p w14:paraId="61813F62" w14:textId="77777777" w:rsidR="00F044A4" w:rsidRDefault="00F044A4" w:rsidP="0005467F">
      <w:pPr>
        <w:pStyle w:val="7"/>
        <w:rPr>
          <w:bCs/>
          <w:lang w:val="be-BY"/>
        </w:rPr>
      </w:pPr>
      <w:r>
        <w:rPr>
          <w:lang w:val="be-BY"/>
        </w:rPr>
        <w:t xml:space="preserve">У горадзе Брэсце ў 1941 годзе былі створаны Рускі камітэт узаемадапамогі (РКУ), Украінскі камітэт самадапамогі (УКС) і Беларускі камітэт самадапамогі (БКС). Іх асноўнымі задачамі былі: </w:t>
      </w:r>
      <w:r>
        <w:rPr>
          <w:bCs/>
          <w:lang w:val="be-BY"/>
        </w:rPr>
        <w:t xml:space="preserve">арганізацыя і ўтрыманне ўстаноў сацыяльнай апекі, матэрыяльная дапамога збяднелым жыхарам, сувязь з акупацыйнымі ўладамі адносна вызвалення іх ад падаткаў ці вывазу ў Германію, працаўладкаванне грамадзян, культурна-асветніцкая дзейнасць у духу адраджэння нацыянальнай самасвядомасці і іншыя падобныя справы. Уплыву на палітычнае жыццё яны не мелі, акрамя таго, што распаўсюджвалі прапагандысцкія адозвы ў падтрымку акупантаў. </w:t>
      </w:r>
    </w:p>
    <w:p w14:paraId="36696CAB" w14:textId="77777777" w:rsidR="00F044A4" w:rsidRDefault="00F044A4" w:rsidP="0005467F">
      <w:pPr>
        <w:pStyle w:val="7"/>
        <w:rPr>
          <w:lang w:val="be-BY"/>
        </w:rPr>
      </w:pPr>
      <w:r>
        <w:rPr>
          <w:bCs/>
          <w:lang w:val="be-BY"/>
        </w:rPr>
        <w:t>БКС быў самы малаактыўны з іх [11].</w:t>
      </w:r>
    </w:p>
    <w:p w14:paraId="057A9C57" w14:textId="77777777" w:rsidR="00F044A4" w:rsidRDefault="00F044A4" w:rsidP="0005467F">
      <w:pPr>
        <w:pStyle w:val="7"/>
        <w:rPr>
          <w:lang w:val="be-BY"/>
        </w:rPr>
      </w:pPr>
      <w:r>
        <w:rPr>
          <w:lang w:val="be-BY"/>
        </w:rPr>
        <w:t>Рускі Камітэт Узаемадапамогі быў створаны з дазволу мясцовай Камендатуры і Паліцыі Бяспекі ў сярэдзіне ліпеня 1941 года [9, арк. 15]. Кіраўніцтва камітэта складалася са старшыні, якім на момант стварэння камітэта быў С.В. Трыбух, сакратара і членаў праўлення [9, арк. 28, 31].</w:t>
      </w:r>
    </w:p>
    <w:p w14:paraId="4BCC5C45" w14:textId="77777777" w:rsidR="00F044A4" w:rsidRDefault="00F044A4" w:rsidP="0005467F">
      <w:pPr>
        <w:pStyle w:val="7"/>
        <w:rPr>
          <w:lang w:val="be-BY"/>
        </w:rPr>
      </w:pPr>
      <w:r>
        <w:rPr>
          <w:lang w:val="be-BY"/>
        </w:rPr>
        <w:t xml:space="preserve">Першапачаткова асноўная накіраванасць камітэта была на культурна-асветніцкую дзейнасць з мэтай вяртання да нацыянальнай самасвядомасці рускага народа. У адным са зваротаў кіраўніцтва камітэта да Паліцыі Бяспекі гутарка ідзе аб просьбе высялення з кватэры жанчыны яўрэйскай нацыянальнасці для стварэння там абедзенай і чытальнай залы РКУ, а таксама ў наступным звароце запыталі перадачу з гарадской бібліятэкі кніг з творамі рускай класічнай літаратурай, каб зрабіць уласную бібліятэку пры РКУ [9, арк. 42–43]. У кастрычніку 1941 года на канферэнцыі Школьнага аддзела магістрата было вырашана адкрыць тры рускія школы, адна з якіх размяшчалася ў горадзе, а дзве іншыя ў прадмесцях горада. РКУ </w:t>
      </w:r>
      <w:r>
        <w:rPr>
          <w:lang w:val="be-BY"/>
        </w:rPr>
        <w:lastRenderedPageBreak/>
        <w:t xml:space="preserve">патлумачыў гэта тым, што вялікая колькасць запісаных ў гэтыя школы дзяцей жылі менавіта ў прадмесцях [1, с. 170]. Таксама пры РКУ працавалі курсы нямецкай мовы [8, арк. 48]. Акрамя таго ў РКУ звярталіся жыхары горада з просьбай аб матэрыяльнай падтрымцы ў цяжкім жыццёвым становішчы [1, с. 139–140]. </w:t>
      </w:r>
    </w:p>
    <w:p w14:paraId="79FC926A" w14:textId="77777777" w:rsidR="00F044A4" w:rsidRDefault="00F044A4" w:rsidP="0005467F">
      <w:pPr>
        <w:pStyle w:val="7"/>
        <w:rPr>
          <w:lang w:val="be-BY"/>
        </w:rPr>
      </w:pPr>
      <w:r>
        <w:rPr>
          <w:lang w:val="be-BY"/>
        </w:rPr>
        <w:t xml:space="preserve">У 1942 годзе старшынёй камітэта стаў І.А. Рыдліцкі [8, арк. </w:t>
      </w:r>
      <w:r>
        <w:t>2</w:t>
      </w:r>
      <w:r>
        <w:rPr>
          <w:lang w:val="be-BY"/>
        </w:rPr>
        <w:t>1]. Магчыма, змена старшыні паўплывала на тое, што летам 1942 года менавіта РКУ аказваў матэрыяльную падтрымку хворым салдатам у “Чырвоных казармах” (лагеры ваеннапалонных): купляў для іх ежжу, лекі, гігіенічныя сродкі і інвентар, але ў невялікіх маштабах [9, арк. 24–27, 29]. 16 жніўня 1943 года прайшло паседжанне праўлення РКУ, на якім было прынята рашэнне прыняць удзел у арганізацыі вярбоўкі дабраахвотцаў у Рускую вызваленчую армію, якая б падтрымала нямецкую ўладу [11].</w:t>
      </w:r>
    </w:p>
    <w:p w14:paraId="6989D40E" w14:textId="77777777" w:rsidR="00F044A4" w:rsidRDefault="00F044A4" w:rsidP="0005467F">
      <w:pPr>
        <w:pStyle w:val="7"/>
        <w:rPr>
          <w:lang w:val="be-BY"/>
        </w:rPr>
      </w:pPr>
      <w:r>
        <w:rPr>
          <w:lang w:val="be-BY"/>
        </w:rPr>
        <w:t xml:space="preserve">Кадравая структура УКС выглядала наступным чынам: ў кіраўніцтве – 23 чалавека (з іх толькі тры жанчыны), бухгалтараў – 24, працаўнікоў банка і фінансаў – 13, у аддзеле здароўя і гігіены – 23, у гаспадарчым аддзеле – 16, друкароў – 7 ці 3 (4 чалавека закрэслена), працаўнікоў канцэлярыі – 25 і тэхнічных працаўнікоў – 25 [7, арк. 4–21]. </w:t>
      </w:r>
    </w:p>
    <w:p w14:paraId="67991E7C" w14:textId="77777777" w:rsidR="00F044A4" w:rsidRDefault="00F044A4" w:rsidP="0005467F">
      <w:pPr>
        <w:pStyle w:val="7"/>
        <w:rPr>
          <w:lang w:val="be-BY"/>
        </w:rPr>
      </w:pPr>
      <w:r>
        <w:rPr>
          <w:lang w:val="be-BY"/>
        </w:rPr>
        <w:t xml:space="preserve">Украінскі камітэт вялікую ўвагу звяртаў на адукацыю. Па яго ініцыятыве 1 ліпеня 1941 года пачалася арганізацыя тэхнічнай і рамеснай школ для ўкраінцаў, якая пасля адкрыцця была перадана на дзяржаўнае ўтрыманне [6, арк. 198]. Асноўнай мэтай яе стварэння было навучанне новых спецыялістаў замест спецыялістаў яўрэйскай нацыянальнасці, якия были забиты падчас ликвидацыи Брэсцкага гета 15–18 кастрычника 1942 года. Акрамя таго УКС арганізаваў 3 школы пры ўмове, што 3 школы было таксама для рускіх (1556 чалавек), якіх было значна больш, чым украінцаў (2494 чалавека) [1, с. 44, 175]. </w:t>
      </w:r>
    </w:p>
    <w:p w14:paraId="78336F7B" w14:textId="6197F942" w:rsidR="00F044A4" w:rsidRDefault="00F044A4" w:rsidP="0005467F">
      <w:pPr>
        <w:pStyle w:val="7"/>
        <w:rPr>
          <w:lang w:val="be-BY"/>
        </w:rPr>
      </w:pPr>
      <w:r>
        <w:rPr>
          <w:lang w:val="be-BY"/>
        </w:rPr>
        <w:t xml:space="preserve">Са студзеня 1943 года УКС быў перайменаваны ў Украінскі камітэт, які ўжо выконваў ролю пасрэдніка паміж украінскім насельніцтвам акругі і органамі ўлады – з’яўляўся прадстаўнічай установай украінцаў [1, </w:t>
      </w:r>
      <w:r>
        <w:rPr>
          <w:lang w:val="pl-PL"/>
        </w:rPr>
        <w:t>c</w:t>
      </w:r>
      <w:r>
        <w:rPr>
          <w:lang w:val="be-BY"/>
        </w:rPr>
        <w:t xml:space="preserve">. </w:t>
      </w:r>
      <w:r w:rsidR="00C37D12">
        <w:rPr>
          <w:lang w:val="be-BY"/>
        </w:rPr>
        <w:br/>
      </w:r>
      <w:r>
        <w:rPr>
          <w:lang w:val="be-BY"/>
        </w:rPr>
        <w:t>210–211].</w:t>
      </w:r>
    </w:p>
    <w:p w14:paraId="6848CC39" w14:textId="77777777" w:rsidR="00F044A4" w:rsidRDefault="00F044A4" w:rsidP="0005467F">
      <w:pPr>
        <w:pStyle w:val="7"/>
        <w:rPr>
          <w:lang w:val="be-BY"/>
        </w:rPr>
      </w:pPr>
      <w:r>
        <w:rPr>
          <w:lang w:val="be-BY"/>
        </w:rPr>
        <w:t>1 сакавіка 1943 года быў створаны Мясцовы камітэт самадапамогі, які, па-сутнасці, адлюстроўваў рашэнне гарадскіх улад адмовіцца ад падзелу камітэтаў самадапамогі па нацыянальнай прыкмеце [11]. З 16 верасня 1943 года камітэты самадапамогі Брэсцкай акругі пачалі падпарадкоўвацца акружному камісару, а іх кіраўніком прызначаўся сам бургамістр, што зрабіла камітэты падкантрольнымі прадстаўнікам улады. Нават пасля ліквідацыі УКС у МКС прымалі прашэнні адрасаваныя Украінскаму камітэту, што можа ўказваць на іх агульнасць у свядомасці людзей [3, арк 209, 223].</w:t>
      </w:r>
    </w:p>
    <w:p w14:paraId="4BCFA15D" w14:textId="77777777" w:rsidR="00F044A4" w:rsidRDefault="00F044A4" w:rsidP="0005467F">
      <w:pPr>
        <w:pStyle w:val="7"/>
        <w:rPr>
          <w:lang w:val="be-BY"/>
        </w:rPr>
      </w:pPr>
      <w:r>
        <w:rPr>
          <w:lang w:val="be-BY"/>
        </w:rPr>
        <w:lastRenderedPageBreak/>
        <w:t>Пры каміцеце працавалі тры сталовых, два дзіцячых дома, начлежны дом, дом для састарэлых і інвалідаў, малочная кухня, сапожная майстэрня і жаночая рамесная школа са сваёй партняжнай майстэрняй [1, с. 151–152]. Гледзячы на дакументы 1941 года, можна заўважыць, што дадзеныя ўстановы першапачаткова знаходзіліся ў ведамстве аддзела сацыяльнага забеспячэння Брэсцкага гарадскога кіраўніцтва і існавалі за кошт асігнаванняў бургамістраў (60000 руб. у кастрычніку 1941 года) і, як і любыя дзяржаўныя ўстановы, падаткаў [1, с. 140]. Спачатку сродкі камітэта складаліся з падаткавых адлічэнняў насельніцтва: 3% штомесячна ад заробка брутто працаўнікоў разумовага труда і рамеснікаў, 2% ад брутто заробка рабочых і 0,5% ад абарота прыватных крам, прадпрыемстваў і арганізацый [1, с. 144]. Пасля 31 сакавіка 1943 года па ўказу Брэсцкага акружнога камісара МКС быў цалкам пераведзены на добрачынныя ахвяраванні, а ў якасці падаткаў збіраць грошы яму забаранялася [1, с. 146–147]. Таксама ён атрымліваў датацыі ад магістрата (30000 руб. за верасень). У канцы 1943 года МКС пачаў актыўна прыймаць новых членаў і атрымліваць сродкі за кошт іх рэгулярных унёскаў; 20 крб – уступны ўнёсак і 10 крб. – штомесячны [4, арк. 151]. Адсюль можна зрабіць вынік, што камітэт быў створаны для перавода сацыяльных устаноў з дзяржаўнага ўтрымання на грамадскае.</w:t>
      </w:r>
    </w:p>
    <w:p w14:paraId="776E53E2" w14:textId="77777777" w:rsidR="00F044A4" w:rsidRDefault="00F044A4" w:rsidP="0005467F">
      <w:pPr>
        <w:pStyle w:val="7"/>
        <w:rPr>
          <w:lang w:val="be-BY"/>
        </w:rPr>
      </w:pPr>
      <w:r>
        <w:rPr>
          <w:lang w:val="be-BY"/>
        </w:rPr>
        <w:t>Гэта азначае, што МКС адначасова быў залежны ад гарадскога кіраўніцтва і пазбаўляўся значнай часткі даходаў.</w:t>
      </w:r>
    </w:p>
    <w:p w14:paraId="5E9502E8" w14:textId="77777777" w:rsidR="00F044A4" w:rsidRDefault="00F044A4" w:rsidP="0005467F">
      <w:pPr>
        <w:pStyle w:val="7"/>
        <w:rPr>
          <w:lang w:val="be-BY"/>
        </w:rPr>
      </w:pPr>
      <w:r>
        <w:rPr>
          <w:lang w:val="be-BY"/>
        </w:rPr>
        <w:t>У ўкраінскай газеце “Наша слова” была апублікавана заметка, у якой гараджан заклікалі падтрымліваць МКС матэрыяльнымі сродкамі і абвінавачвалі ў шавінізме тых, хто дапамагаў выключна прадстаўнікам сваёй нацыянальнасці, што выглядае даволі странна для палітыкі акупацыйных улад, накіраванай на падзел насельнцтва па нацыянальнай прыкмеце. Працавалі ў установах МКС таксама прадстаўнікі розных нацыянальнасцей: 30 – польскай, 11 – рускай, 7 – украінскай, 6 – беларускай і 1 – “фольксдойчэ” (нямецкай) [2, арк 6–7]. Аднак бачна, што пераважную колькасць служачых і працаўнікоў камітэту складаюць палякі, у якіх дагэтуль нават не было свайго нацыянальнага камітэта. Па наступным спісам новых членаў камітэта можна заўважыць, што ў МКС было прынята 6 русскіх, 6 украінцаў і 6 палякаў [5, арк 2]. Такое дамінаванне прадстаўнікоў польскай нацыянальнасці у МКС можна патлумачыць тым, што пасля змены бургамістра з паляка М. Оппельн-Бранікоўскага на ўкраінца Ф. Малюту палякі страцілі давер акупацыйных улад і, адпаведна, масавае прадстаўніцтва ў органах мясцовага кіравання, таму былі вымушаны звяртацца за падтрымкай да камітэта самадапамогі.</w:t>
      </w:r>
    </w:p>
    <w:p w14:paraId="159D5739" w14:textId="78DDD923" w:rsidR="00F044A4" w:rsidRDefault="00F044A4" w:rsidP="0005467F">
      <w:pPr>
        <w:pStyle w:val="7"/>
        <w:rPr>
          <w:lang w:val="be-BY"/>
        </w:rPr>
      </w:pPr>
      <w:r>
        <w:rPr>
          <w:lang w:val="be-BY"/>
        </w:rPr>
        <w:t xml:space="preserve">Згодна са спісам ад 10 мая 1943 года ва ўстановах камітэта працавала з 57 чалавек 9 мужчын, пры чым у яго кіраўніцтва уваходзіла 8 з іх, і 4 </w:t>
      </w:r>
      <w:r>
        <w:rPr>
          <w:lang w:val="be-BY"/>
        </w:rPr>
        <w:lastRenderedPageBreak/>
        <w:t xml:space="preserve">жанчыны. Што датычыцца прафесій членаў МКС, то сярод кіраўніцтва камітэта 6 з 12 чалавек – прадстаўнікі інтэлтгентных прафесій: настаўнікі, лекары, бухгалтары і інш. А з 45 працаўнікоў устаноў МКС прадстаўнікоў інтэлігенцыі ўсяго 17. У спісе новых членаў камітэта абсалютную большасць (16 з 18 чалавек) складаюць людзі інтэлігентных прафесій </w:t>
      </w:r>
      <w:r w:rsidR="00C37D12">
        <w:rPr>
          <w:lang w:val="be-BY"/>
        </w:rPr>
        <w:br/>
      </w:r>
      <w:r>
        <w:rPr>
          <w:lang w:val="be-BY"/>
        </w:rPr>
        <w:t>[2, арк 6–7].</w:t>
      </w:r>
    </w:p>
    <w:p w14:paraId="5027F07C" w14:textId="1E42421A" w:rsidR="00F044A4" w:rsidRDefault="00F044A4" w:rsidP="0005467F">
      <w:pPr>
        <w:pStyle w:val="7"/>
        <w:rPr>
          <w:lang w:val="be-BY"/>
        </w:rPr>
      </w:pPr>
      <w:r>
        <w:rPr>
          <w:lang w:val="be-BY"/>
        </w:rPr>
        <w:t xml:space="preserve">МКС, акрамя ўтрымання ўстаноў сацыяльнай накіраванасці, займалася выдачай матэрыяльнай дапамогі збяднеламу насельніцтву па прашэнням. Для гэтага праводзілася абследаванне матэрыяльнага і сямейнага становішча і, калі пацьвярджалася яго нездавальняючасць, прыймаліся меры: выдача вопраткі, ежжы, грошэй, уладкаванне на працу, аплата за вучобу і т. п. Таксама ў сувязі з поспехамі савецкіх войск і прасоўваннем лініі фронта з Усхода на Зхад павялічылася колькасць бежаньцаў, якім таксама патрабавалася дапамога. Аб гэтым згадвалі ў газетах [1, с. 151] і МКС нават прапаноўвалі акружному камісару адкрыць сапожную майстэрню, каб уладкаваць туды прыбыўшых у Брэст </w:t>
      </w:r>
      <w:r w:rsidR="00C37D12">
        <w:rPr>
          <w:lang w:val="be-BY"/>
        </w:rPr>
        <w:br/>
      </w:r>
      <w:r>
        <w:rPr>
          <w:lang w:val="be-BY"/>
        </w:rPr>
        <w:t>[4, арк 157].</w:t>
      </w:r>
    </w:p>
    <w:p w14:paraId="2741A987" w14:textId="77777777" w:rsidR="00F044A4" w:rsidRDefault="00F044A4" w:rsidP="0005467F">
      <w:pPr>
        <w:pStyle w:val="7"/>
        <w:rPr>
          <w:lang w:val="be-BY"/>
        </w:rPr>
      </w:pPr>
      <w:r>
        <w:rPr>
          <w:lang w:val="be-BY"/>
        </w:rPr>
        <w:t xml:space="preserve">Такім чынам можна зрабіць высновы, што ствараючы камітэты самадапамогі акупацыйная ўлада перакладала на мясцовае насельніцтва функцыі ўтрымання ўстаноў сацыяльнай апекі. Згодна з асноўнымі накірункамі дзейнасці нацыянальных камітэтаў ім дазвалялася займацца пытаннямі культурна-асветніцкага характару. Напрыклад, адукацыя, з аднаго боку, самая безапасная сфера дзейнасці грамадскай арганізацыі, а з іншага </w:t>
      </w:r>
      <w:r>
        <w:rPr>
          <w:lang w:val="be-BY"/>
        </w:rPr>
        <w:softHyphen/>
        <w:t xml:space="preserve">– моцны інструмент уплыву на свядомасць падрастаючага пакалення. Гледзячы на спіс удзельнікаў МКС заўважна, што большую частку складала інтэлігенцыя. Адсюль можна меркаваць, што такім чынам увага граматных і адукаваных людзей адцягвалася ад киращничых спраў на сацыяльныя. Таксама на прыкладзе камітэтаў самадапамогі можна прасачыць змену ў падыходзе акупантаў да нацыянальнай палітыкі: ствараючы агульны камітэт, улады з большасці адмовіліся ад размеркавання людзей па нацыянальнай прыкмеце пры тым, што ў органах мясцовага самакіравання былі ў асноўным прадстаўлены ўкраінцы. </w:t>
      </w:r>
    </w:p>
    <w:p w14:paraId="1D1169C6" w14:textId="77777777" w:rsidR="00F044A4" w:rsidRDefault="00F044A4" w:rsidP="00F044A4">
      <w:pPr>
        <w:spacing w:after="0"/>
        <w:ind w:firstLine="709"/>
        <w:jc w:val="both"/>
        <w:rPr>
          <w:rFonts w:ascii="Times New Roman" w:hAnsi="Times New Roman" w:cs="Times New Roman"/>
          <w:sz w:val="28"/>
          <w:szCs w:val="28"/>
          <w:lang w:val="be-BY"/>
        </w:rPr>
      </w:pPr>
    </w:p>
    <w:p w14:paraId="4B78EB0B" w14:textId="77777777" w:rsidR="00C37D12" w:rsidRPr="00C37D12" w:rsidRDefault="00C37D12" w:rsidP="00F044A4">
      <w:pPr>
        <w:spacing w:after="0"/>
        <w:ind w:firstLine="709"/>
        <w:jc w:val="both"/>
        <w:rPr>
          <w:rFonts w:ascii="Times New Roman" w:hAnsi="Times New Roman" w:cs="Times New Roman"/>
          <w:sz w:val="28"/>
          <w:szCs w:val="28"/>
          <w:lang w:val="be-BY"/>
        </w:rPr>
      </w:pPr>
    </w:p>
    <w:p w14:paraId="4013A094" w14:textId="77777777" w:rsidR="00F044A4" w:rsidRPr="0005467F" w:rsidRDefault="00F044A4" w:rsidP="00F044A4">
      <w:pPr>
        <w:pStyle w:val="aff1"/>
        <w:ind w:firstLine="709"/>
        <w:jc w:val="both"/>
        <w:rPr>
          <w:sz w:val="24"/>
          <w:szCs w:val="24"/>
        </w:rPr>
      </w:pPr>
      <w:r w:rsidRPr="0005467F">
        <w:rPr>
          <w:sz w:val="24"/>
          <w:szCs w:val="24"/>
        </w:rPr>
        <w:t xml:space="preserve">1. </w:t>
      </w:r>
      <w:r w:rsidRPr="0005467F">
        <w:rPr>
          <w:rFonts w:cs="Times New Roman"/>
          <w:sz w:val="24"/>
          <w:szCs w:val="24"/>
          <w:lang w:val="be-BY"/>
        </w:rPr>
        <w:t>Брест в 1941-1944 гг. Оккупац</w:t>
      </w:r>
      <w:r w:rsidRPr="0005467F">
        <w:rPr>
          <w:rFonts w:cs="Times New Roman"/>
          <w:sz w:val="24"/>
          <w:szCs w:val="24"/>
        </w:rPr>
        <w:t>ия: документы и материалы / Учрежд. «Государственный архив Брестской области»; сост. Г.Д. Калустова, А.Г. Карапузова, Е.С. Розенблат. – Брест: Альтернатива, 2016. – 316 с.</w:t>
      </w:r>
    </w:p>
    <w:p w14:paraId="4C042AD3" w14:textId="77777777" w:rsidR="00F044A4" w:rsidRPr="0005467F" w:rsidRDefault="00F044A4" w:rsidP="00F044A4">
      <w:pPr>
        <w:pStyle w:val="aff1"/>
        <w:ind w:firstLine="709"/>
        <w:jc w:val="both"/>
        <w:rPr>
          <w:sz w:val="24"/>
          <w:szCs w:val="24"/>
          <w:lang w:val="be-BY"/>
        </w:rPr>
      </w:pPr>
      <w:r w:rsidRPr="0005467F">
        <w:rPr>
          <w:sz w:val="24"/>
          <w:szCs w:val="24"/>
        </w:rPr>
        <w:t xml:space="preserve">2. </w:t>
      </w:r>
      <w:r w:rsidRPr="0005467F">
        <w:rPr>
          <w:rFonts w:cs="Times New Roman"/>
          <w:sz w:val="24"/>
          <w:szCs w:val="24"/>
          <w:lang w:val="be-BY"/>
        </w:rPr>
        <w:t xml:space="preserve">Дзяржаўны архіў Брэсцкай вобласці (ДАБр). – </w:t>
      </w:r>
      <w:r w:rsidRPr="0005467F">
        <w:rPr>
          <w:sz w:val="24"/>
          <w:szCs w:val="24"/>
          <w:lang w:val="be-BY"/>
        </w:rPr>
        <w:t>Ф. 199, Оп. 1, С. 1.</w:t>
      </w:r>
    </w:p>
    <w:p w14:paraId="56EBD16B"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3. </w:t>
      </w:r>
      <w:r w:rsidRPr="0005467F">
        <w:rPr>
          <w:rFonts w:cs="Times New Roman"/>
          <w:sz w:val="24"/>
          <w:szCs w:val="24"/>
          <w:lang w:val="be-BY"/>
        </w:rPr>
        <w:t xml:space="preserve">Дзяржаўны архіў Брэсцкай вобласці (ДАБр). – </w:t>
      </w:r>
      <w:r w:rsidRPr="0005467F">
        <w:rPr>
          <w:sz w:val="24"/>
          <w:szCs w:val="24"/>
          <w:lang w:val="be-BY"/>
        </w:rPr>
        <w:t>Ф. 199, Оп. 1, С. 7.</w:t>
      </w:r>
    </w:p>
    <w:p w14:paraId="2FCDDDDF"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4. </w:t>
      </w:r>
      <w:r w:rsidRPr="0005467F">
        <w:rPr>
          <w:rFonts w:cs="Times New Roman"/>
          <w:sz w:val="24"/>
          <w:szCs w:val="24"/>
          <w:lang w:val="be-BY"/>
        </w:rPr>
        <w:t xml:space="preserve">Дзяржаўны архіў Брэсцкай вобласці (ДАБр). – </w:t>
      </w:r>
      <w:r w:rsidRPr="0005467F">
        <w:rPr>
          <w:sz w:val="24"/>
          <w:szCs w:val="24"/>
          <w:lang w:val="be-BY"/>
        </w:rPr>
        <w:t>Ф. 199, Оп. 1, С. 9.</w:t>
      </w:r>
    </w:p>
    <w:p w14:paraId="07C5925A"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5. </w:t>
      </w:r>
      <w:r w:rsidRPr="0005467F">
        <w:rPr>
          <w:rFonts w:cs="Times New Roman"/>
          <w:sz w:val="24"/>
          <w:szCs w:val="24"/>
          <w:lang w:val="be-BY"/>
        </w:rPr>
        <w:t xml:space="preserve">Дзяржаўны архіў Брэсцкай вобласці (ДАБр). – </w:t>
      </w:r>
      <w:r w:rsidRPr="0005467F">
        <w:rPr>
          <w:sz w:val="24"/>
          <w:szCs w:val="24"/>
          <w:lang w:val="be-BY"/>
        </w:rPr>
        <w:t>Ф. 201, Оп. 1, С. 9.</w:t>
      </w:r>
    </w:p>
    <w:p w14:paraId="418C2E1C"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6. </w:t>
      </w:r>
      <w:r w:rsidRPr="0005467F">
        <w:rPr>
          <w:rFonts w:cs="Times New Roman"/>
          <w:sz w:val="24"/>
          <w:szCs w:val="24"/>
          <w:lang w:val="be-BY"/>
        </w:rPr>
        <w:t xml:space="preserve">Дзяржаўны архіў Брэсцкай вобласці (ДАБр). – </w:t>
      </w:r>
      <w:r w:rsidRPr="0005467F">
        <w:rPr>
          <w:sz w:val="24"/>
          <w:szCs w:val="24"/>
          <w:lang w:val="be-BY"/>
        </w:rPr>
        <w:t>Ф. 201, Оп. 1, С. 3.</w:t>
      </w:r>
    </w:p>
    <w:p w14:paraId="39D1B07A" w14:textId="77777777" w:rsidR="00F044A4" w:rsidRPr="0005467F" w:rsidRDefault="00F044A4" w:rsidP="00F044A4">
      <w:pPr>
        <w:pStyle w:val="aff1"/>
        <w:ind w:firstLine="709"/>
        <w:jc w:val="both"/>
        <w:rPr>
          <w:sz w:val="24"/>
          <w:szCs w:val="24"/>
          <w:lang w:val="be-BY"/>
        </w:rPr>
      </w:pPr>
      <w:r w:rsidRPr="0005467F">
        <w:rPr>
          <w:sz w:val="24"/>
          <w:szCs w:val="24"/>
          <w:lang w:val="be-BY"/>
        </w:rPr>
        <w:lastRenderedPageBreak/>
        <w:t xml:space="preserve">7. </w:t>
      </w:r>
      <w:r w:rsidRPr="0005467F">
        <w:rPr>
          <w:rFonts w:cs="Times New Roman"/>
          <w:sz w:val="24"/>
          <w:szCs w:val="24"/>
          <w:lang w:val="be-BY"/>
        </w:rPr>
        <w:t xml:space="preserve">Дзяржаўны архіў Брэсцкай вобласці (ДАБр). – </w:t>
      </w:r>
      <w:r w:rsidRPr="0005467F">
        <w:rPr>
          <w:sz w:val="24"/>
          <w:szCs w:val="24"/>
          <w:lang w:val="be-BY"/>
        </w:rPr>
        <w:t>Ф. 201, Оп. 1, С. 3.</w:t>
      </w:r>
    </w:p>
    <w:p w14:paraId="3C6C1D06"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8. </w:t>
      </w:r>
      <w:r w:rsidRPr="0005467F">
        <w:rPr>
          <w:rFonts w:cs="Times New Roman"/>
          <w:sz w:val="24"/>
          <w:szCs w:val="24"/>
          <w:lang w:val="be-BY"/>
        </w:rPr>
        <w:t xml:space="preserve">Дзяржаўны архіў Брэсцкай вобласці (ДАБр). – </w:t>
      </w:r>
      <w:r w:rsidRPr="0005467F">
        <w:rPr>
          <w:sz w:val="24"/>
          <w:szCs w:val="24"/>
          <w:lang w:val="be-BY"/>
        </w:rPr>
        <w:t>Ф. 203, Оп. 1, С. 1.</w:t>
      </w:r>
    </w:p>
    <w:p w14:paraId="1AA24DD1" w14:textId="77777777" w:rsidR="00F044A4" w:rsidRPr="0005467F" w:rsidRDefault="00F044A4" w:rsidP="00F044A4">
      <w:pPr>
        <w:pStyle w:val="aff1"/>
        <w:ind w:firstLine="709"/>
        <w:jc w:val="both"/>
        <w:rPr>
          <w:sz w:val="24"/>
          <w:szCs w:val="24"/>
          <w:lang w:val="be-BY"/>
        </w:rPr>
      </w:pPr>
      <w:r w:rsidRPr="0005467F">
        <w:rPr>
          <w:sz w:val="24"/>
          <w:szCs w:val="24"/>
          <w:lang w:val="be-BY"/>
        </w:rPr>
        <w:t xml:space="preserve">9. </w:t>
      </w:r>
      <w:r w:rsidRPr="0005467F">
        <w:rPr>
          <w:rFonts w:cs="Times New Roman"/>
          <w:sz w:val="24"/>
          <w:szCs w:val="24"/>
          <w:lang w:val="be-BY"/>
        </w:rPr>
        <w:t xml:space="preserve">Дзяржаўны архіў Брэсцкай вобласці (ДАБр). – </w:t>
      </w:r>
      <w:r w:rsidRPr="0005467F">
        <w:rPr>
          <w:sz w:val="24"/>
          <w:szCs w:val="24"/>
          <w:lang w:val="be-BY"/>
        </w:rPr>
        <w:t>Ф. 203, Оп. 1, С. 3.</w:t>
      </w:r>
    </w:p>
    <w:p w14:paraId="5F900E36" w14:textId="77777777" w:rsidR="00F044A4" w:rsidRPr="0005467F" w:rsidRDefault="00F044A4" w:rsidP="00F044A4">
      <w:pPr>
        <w:pStyle w:val="aff1"/>
        <w:ind w:firstLine="709"/>
        <w:jc w:val="both"/>
        <w:rPr>
          <w:sz w:val="24"/>
          <w:szCs w:val="24"/>
          <w:lang w:val="be-BY"/>
        </w:rPr>
      </w:pPr>
      <w:r w:rsidRPr="0005467F">
        <w:rPr>
          <w:sz w:val="24"/>
          <w:szCs w:val="24"/>
          <w:lang w:val="be-BY"/>
        </w:rPr>
        <w:t>10</w:t>
      </w:r>
      <w:r w:rsidRPr="0005467F">
        <w:rPr>
          <w:sz w:val="24"/>
          <w:szCs w:val="24"/>
        </w:rPr>
        <w:t>. Розенблат, Е. С. Лето 1941 года: становление оккупационного режима (на примере города Бреста) / Е.С. Розенблат // Беларусь у полымі 1941 года: да 80-годдзя пачатку Вялікай Айчынай вайны : зб. навук. арт. / Нац. акад. навук Беларусі, Ін-т гісторыі ; навук. рэд. А. М. Літвін. – Мінск, 2021. – С. 168–172.</w:t>
      </w:r>
    </w:p>
    <w:p w14:paraId="347E0BCE" w14:textId="77777777" w:rsidR="00F044A4" w:rsidRPr="0005467F" w:rsidRDefault="00F044A4" w:rsidP="00F044A4">
      <w:pPr>
        <w:pStyle w:val="aff1"/>
        <w:ind w:firstLine="709"/>
        <w:jc w:val="both"/>
        <w:rPr>
          <w:sz w:val="24"/>
          <w:szCs w:val="24"/>
          <w:lang w:val="be-BY"/>
        </w:rPr>
      </w:pPr>
      <w:r w:rsidRPr="0005467F">
        <w:rPr>
          <w:sz w:val="24"/>
          <w:szCs w:val="24"/>
          <w:lang w:val="be-BY"/>
        </w:rPr>
        <w:t>11. Яленская, І. Э. Арганізацыі самадапамогі на тэрыторыі Брэстчыны (1941-1944) / І.Э. Яленская // Весці Акадэміі навук Беларусі. Сер. гуманітар. навук: научный журнал. – 1998. – № 1. – С. 66–74.</w:t>
      </w:r>
    </w:p>
    <w:p w14:paraId="2A076B50" w14:textId="77777777" w:rsidR="00473095" w:rsidRPr="00BC7234" w:rsidRDefault="00473095" w:rsidP="00473095">
      <w:pPr>
        <w:pStyle w:val="7"/>
      </w:pPr>
    </w:p>
    <w:p w14:paraId="79ACB5AC" w14:textId="77777777" w:rsidR="00473095" w:rsidRPr="009D63FE" w:rsidRDefault="000C69B3" w:rsidP="00473095">
      <w:pPr>
        <w:pStyle w:val="Standard"/>
        <w:jc w:val="center"/>
        <w:rPr>
          <w:i/>
          <w:lang w:val="be-BY"/>
        </w:rPr>
      </w:pPr>
      <w:hyperlink w:anchor="_СОДЕРЖАНИЕ" w:history="1">
        <w:r w:rsidR="00473095" w:rsidRPr="009D63FE">
          <w:rPr>
            <w:rStyle w:val="a9"/>
            <w:rFonts w:ascii="Times New Roman" w:hAnsi="Times New Roman" w:cs="Times New Roman"/>
            <w:i/>
            <w:color w:val="auto"/>
            <w:sz w:val="28"/>
            <w:szCs w:val="28"/>
            <w:u w:val="none"/>
            <w:lang w:val="be-BY"/>
          </w:rPr>
          <w:t>К содержанию</w:t>
        </w:r>
      </w:hyperlink>
    </w:p>
    <w:p w14:paraId="71C290FA" w14:textId="77777777" w:rsidR="00473095" w:rsidRDefault="00473095" w:rsidP="00473095">
      <w:pPr>
        <w:spacing w:after="0" w:line="240" w:lineRule="auto"/>
        <w:jc w:val="both"/>
        <w:rPr>
          <w:rFonts w:ascii="Times New Roman" w:hAnsi="Times New Roman" w:cs="Times New Roman"/>
          <w:bCs/>
          <w:sz w:val="28"/>
          <w:szCs w:val="28"/>
          <w:lang w:val="be-BY"/>
        </w:rPr>
      </w:pPr>
    </w:p>
    <w:p w14:paraId="242591A1" w14:textId="77777777" w:rsidR="00F044A4" w:rsidRDefault="00F044A4" w:rsidP="00E25B19">
      <w:pPr>
        <w:spacing w:after="0" w:line="240" w:lineRule="auto"/>
        <w:jc w:val="both"/>
        <w:rPr>
          <w:rFonts w:ascii="Times New Roman" w:hAnsi="Times New Roman" w:cs="Times New Roman"/>
          <w:bCs/>
          <w:sz w:val="28"/>
          <w:szCs w:val="28"/>
          <w:lang w:val="be-BY"/>
        </w:rPr>
      </w:pPr>
    </w:p>
    <w:p w14:paraId="0AF2E729" w14:textId="77777777" w:rsidR="00842998" w:rsidRDefault="00842998" w:rsidP="00842998">
      <w:pPr>
        <w:pStyle w:val="8"/>
        <w:numPr>
          <w:ilvl w:val="0"/>
          <w:numId w:val="0"/>
        </w:numPr>
        <w:rPr>
          <w:bCs/>
          <w:sz w:val="28"/>
          <w:szCs w:val="28"/>
          <w:lang w:val="ru-RU"/>
        </w:rPr>
      </w:pPr>
    </w:p>
    <w:p w14:paraId="7B7C1FF4" w14:textId="71E0133D" w:rsidR="00842998" w:rsidRDefault="00842998" w:rsidP="00842998">
      <w:pPr>
        <w:pStyle w:val="12"/>
      </w:pPr>
      <w:r>
        <w:t>УДК 94(476)</w:t>
      </w:r>
    </w:p>
    <w:p w14:paraId="72CA2512" w14:textId="77777777" w:rsidR="00842998" w:rsidRDefault="00842998" w:rsidP="00842998">
      <w:pPr>
        <w:pStyle w:val="14"/>
      </w:pPr>
      <w:bookmarkStart w:id="76" w:name="_Toc181884610"/>
      <w:bookmarkStart w:id="77" w:name="_Toc181894102"/>
      <w:r>
        <w:t>М.Д. СУНЦОВА</w:t>
      </w:r>
      <w:bookmarkEnd w:id="76"/>
      <w:bookmarkEnd w:id="77"/>
      <w:r>
        <w:t xml:space="preserve"> </w:t>
      </w:r>
    </w:p>
    <w:p w14:paraId="63E2DB2F" w14:textId="246E9C5E" w:rsidR="00842998" w:rsidRDefault="00842998" w:rsidP="00842998">
      <w:pPr>
        <w:pStyle w:val="3"/>
      </w:pPr>
      <w:r>
        <w:t>Брест, БрГТУ</w:t>
      </w:r>
    </w:p>
    <w:p w14:paraId="10FF8A8B" w14:textId="794D8E8D" w:rsidR="00842998" w:rsidRPr="008E7234" w:rsidRDefault="00842998" w:rsidP="00842998">
      <w:pPr>
        <w:pStyle w:val="4"/>
        <w:rPr>
          <w:lang w:val="ru-RU"/>
        </w:rPr>
      </w:pPr>
      <w:r>
        <w:t xml:space="preserve">Научный руководитель: В.Н. Кузьмич, </w:t>
      </w:r>
      <w:r w:rsidR="008E7234">
        <w:rPr>
          <w:lang w:val="ru-RU"/>
        </w:rPr>
        <w:t>к.и.н.</w:t>
      </w:r>
      <w:r w:rsidR="008E7234">
        <w:t>, доцент</w:t>
      </w:r>
    </w:p>
    <w:p w14:paraId="3672C2A0" w14:textId="77777777" w:rsidR="00842998" w:rsidRDefault="00842998" w:rsidP="00842998">
      <w:pPr>
        <w:pStyle w:val="4"/>
      </w:pPr>
    </w:p>
    <w:p w14:paraId="6BA13C94" w14:textId="229F150F" w:rsidR="00842998" w:rsidRDefault="00842998" w:rsidP="00842998">
      <w:pPr>
        <w:pStyle w:val="5"/>
      </w:pPr>
      <w:r>
        <w:t xml:space="preserve">СТИХ, РОЖДЕННЫЙ ВОЙНОЙ </w:t>
      </w:r>
      <w:r>
        <w:br/>
        <w:t>(ПО СТРАНИЦАМ СЕМЕЙНОГО АРХИВА)</w:t>
      </w:r>
    </w:p>
    <w:p w14:paraId="239DEC68" w14:textId="77777777" w:rsidR="00842998" w:rsidRPr="003B5B5B" w:rsidRDefault="00842998" w:rsidP="00842998">
      <w:pPr>
        <w:spacing w:after="0" w:line="240" w:lineRule="auto"/>
        <w:ind w:firstLine="709"/>
        <w:jc w:val="both"/>
        <w:rPr>
          <w:rFonts w:ascii="Times New Roman" w:hAnsi="Times New Roman" w:cs="Times New Roman"/>
          <w:sz w:val="28"/>
          <w:szCs w:val="28"/>
        </w:rPr>
      </w:pPr>
    </w:p>
    <w:p w14:paraId="7C832852" w14:textId="77777777" w:rsidR="00842998" w:rsidRDefault="00842998" w:rsidP="00842998">
      <w:pPr>
        <w:pStyle w:val="7"/>
      </w:pPr>
      <w:r>
        <w:t>Статья посвящена сохранению исторической памяти о Великой Отечественной войне через исследование истории семьи и семейного архива. В архиве семьи Сунцовых хранятся документы, письма, награды, воспоминания военных лет, а также уникальный артефакт – поэма «Три сына», написанная на фронте Сунцовым Николаем Ивановичем, участником войны. Архив дает возможность проследить отражение исторических событий в одной семье, отпечаток всеобщей трагедии на судьбах простых людей, вклад каждого в дело великой победы.</w:t>
      </w:r>
    </w:p>
    <w:p w14:paraId="4EAECA20" w14:textId="77777777" w:rsidR="00842998" w:rsidRDefault="00842998" w:rsidP="00842998">
      <w:pPr>
        <w:pStyle w:val="7"/>
      </w:pPr>
      <w:r>
        <w:rPr>
          <w:rStyle w:val="markedcontent"/>
          <w:shd w:val="clear" w:color="auto" w:fill="FFFFFF"/>
        </w:rPr>
        <w:t xml:space="preserve">Социологические исследования показывают, что наиболее значимым событием в истории белорусского народа населением страны признается победа в Великой Отечественной войне: такого мнения придерживаются 69,1% населения [2, с. 26]. </w:t>
      </w:r>
    </w:p>
    <w:p w14:paraId="228CFCAD" w14:textId="77777777" w:rsidR="00842998" w:rsidRDefault="00842998" w:rsidP="00842998">
      <w:pPr>
        <w:pStyle w:val="7"/>
        <w:rPr>
          <w:sz w:val="32"/>
        </w:rPr>
      </w:pPr>
      <w:r>
        <w:t xml:space="preserve">Великая Отечественная война является важной страницей каждой семьи в Беларуси. Несмотря на то, что прошло 80 лет со дня освобождения наших территорий, белорусы продолжают чтить память о тех трагических событиях. Живых свидетелей войны становится все меньше, поэтому неизбежно произойдет трансформация коммуникативной памяти о войне в форму культурной памяти [3, с. 189]. Культурная память менее устойчива к интерпретациям, поэтому сохранение свидетельств прошедших событий, особенно такой социальной значимости, является крайне необходимым для </w:t>
      </w:r>
      <w:r>
        <w:lastRenderedPageBreak/>
        <w:t xml:space="preserve">поддержания </w:t>
      </w:r>
      <w:r>
        <w:rPr>
          <w:rStyle w:val="markedcontent"/>
          <w:szCs w:val="27"/>
          <w:shd w:val="clear" w:color="auto" w:fill="FFFFFF"/>
        </w:rPr>
        <w:t>высокой степени единства восприятия истории разными поколениями. Исследования семейных архивов могут внести новые интересные факты, добавить детали к уже известным фактам.</w:t>
      </w:r>
      <w:r>
        <w:rPr>
          <w:sz w:val="32"/>
        </w:rPr>
        <w:t xml:space="preserve">  </w:t>
      </w:r>
    </w:p>
    <w:p w14:paraId="15C64487" w14:textId="77777777" w:rsidR="00842998" w:rsidRDefault="00842998" w:rsidP="00842998">
      <w:pPr>
        <w:pStyle w:val="7"/>
      </w:pPr>
      <w:r>
        <w:t xml:space="preserve">Существует поговорка: «Когда говорят пушки, музы молчат». В условиях войны сложно найти время для искусства. В тоже время, даже на войне человек стремится остаться человеком, сохранить в душе что-то светлое, гуманное. И помогают ему в этом мысли о семье, о том, что где-то его ждет дом и родные, близкие люди. А кто-то из родных находится рядом, на войне, плечом к плечу сражается за мир и свободу. </w:t>
      </w:r>
    </w:p>
    <w:p w14:paraId="723FB40D" w14:textId="77777777" w:rsidR="00842998" w:rsidRDefault="00842998" w:rsidP="00842998">
      <w:pPr>
        <w:pStyle w:val="7"/>
      </w:pPr>
      <w:r>
        <w:t xml:space="preserve">Именно в таких условиях в военные годы появилась поэма «Три сына», написанная участником Великой Отечественной войны Сунцовым Николаем Ивановичем. Эта поэма является важным артефактом, дающим представление о личном вкладе одной семьи в дело победы. </w:t>
      </w:r>
    </w:p>
    <w:p w14:paraId="10EB3BBB" w14:textId="77777777" w:rsidR="00842998" w:rsidRDefault="00842998" w:rsidP="00842998">
      <w:pPr>
        <w:pStyle w:val="7"/>
        <w:rPr>
          <w:rFonts w:eastAsia="Calibri"/>
          <w:lang w:val="be-BY"/>
        </w:rPr>
      </w:pPr>
      <w:r>
        <w:t>Сунцов Николай Иванович в</w:t>
      </w:r>
      <w:r>
        <w:rPr>
          <w:rFonts w:eastAsia="Calibri"/>
        </w:rPr>
        <w:t xml:space="preserve"> июле 1941 года, после выпуска из Ленинградского военно-топографического училища, был направлен на </w:t>
      </w:r>
      <w:r>
        <w:rPr>
          <w:color w:val="000000"/>
          <w:lang w:eastAsia="ru-RU" w:bidi="ru-RU"/>
        </w:rPr>
        <w:t xml:space="preserve">на 1-й Белорусский фронт, в 7-й кавалерийский корпус, 16-ю гвардейскую кавалерийскую черниговскую Краснознаменную дивизию. Участвовал в боях за Сталинград. </w:t>
      </w:r>
      <w:r>
        <w:rPr>
          <w:rFonts w:eastAsia="Calibri"/>
        </w:rPr>
        <w:t xml:space="preserve">С марта 1943 апрель 1945 года служил начальником топографической службы данной дивизии. </w:t>
      </w:r>
      <w:r>
        <w:rPr>
          <w:color w:val="000000"/>
          <w:lang w:eastAsia="ru-RU" w:bidi="ru-RU"/>
        </w:rPr>
        <w:t xml:space="preserve">В этом же подразделении вместе с ним с немецкими захватчиками сражались еще два его родных брата Степан и Михаил (погиб в 1943 г.) Николай и Степан Сунцовы участвовали в освобождении Беларуси и Польши, дошли до Берлина, участвовали во взятии города. За проявленную отвагу и героизм были награждены многочисленными орденами и медалями. Боевой путь можно проследить на портале «Память народа» [5]. </w:t>
      </w:r>
    </w:p>
    <w:p w14:paraId="2B5F22B7" w14:textId="77777777" w:rsidR="00842998" w:rsidRDefault="00842998" w:rsidP="00842998">
      <w:pPr>
        <w:pStyle w:val="7"/>
        <w:rPr>
          <w:rFonts w:eastAsia="Times New Roman"/>
          <w:lang w:eastAsia="ru-RU"/>
        </w:rPr>
      </w:pPr>
      <w:r>
        <w:t xml:space="preserve">Сунцов Николай Иванович написал поэму в 1943 году, во время отдыха между боями. Произведение </w:t>
      </w:r>
      <w:r>
        <w:rPr>
          <w:rFonts w:eastAsia="Times New Roman"/>
          <w:lang w:eastAsia="ru-RU"/>
        </w:rPr>
        <w:t>повествует о простых и важных военных моментах: вера в торжество справедливости и победу, героизм и силу духа</w:t>
      </w:r>
      <w:r>
        <w:rPr>
          <w:rFonts w:eastAsia="Times New Roman"/>
          <w:sz w:val="24"/>
          <w:szCs w:val="24"/>
          <w:lang w:eastAsia="ru-RU"/>
        </w:rPr>
        <w:t xml:space="preserve">. </w:t>
      </w:r>
      <w:r>
        <w:rPr>
          <w:rFonts w:eastAsia="Times New Roman"/>
          <w:lang w:eastAsia="ru-RU"/>
        </w:rPr>
        <w:t>Поэма написана простым языком, о реальных событиях того времени, но тем не менее затрагивает проблемы колоссальных масштабов.</w:t>
      </w:r>
      <w:r>
        <w:rPr>
          <w:rFonts w:eastAsia="Times New Roman"/>
          <w:sz w:val="24"/>
          <w:szCs w:val="24"/>
          <w:lang w:eastAsia="ru-RU"/>
        </w:rPr>
        <w:t xml:space="preserve"> </w:t>
      </w:r>
      <w:r>
        <w:rPr>
          <w:rFonts w:eastAsia="Times New Roman"/>
          <w:lang w:eastAsia="ru-RU"/>
        </w:rPr>
        <w:t>Произведение состоит из 9 глав, описываемые действия происходят во время Великой Отечественной войны</w:t>
      </w:r>
      <w:r>
        <w:rPr>
          <w:rFonts w:eastAsia="Times New Roman"/>
          <w:color w:val="FF0000"/>
          <w:lang w:eastAsia="ru-RU"/>
        </w:rPr>
        <w:t xml:space="preserve">. </w:t>
      </w:r>
      <w:r>
        <w:rPr>
          <w:rFonts w:eastAsia="Times New Roman"/>
          <w:lang w:eastAsia="ru-RU"/>
        </w:rPr>
        <w:t>Композиция поэмы особенна тем, что она вобрала в себя</w:t>
      </w:r>
      <w:r>
        <w:rPr>
          <w:rFonts w:eastAsia="Times New Roman"/>
          <w:sz w:val="24"/>
          <w:szCs w:val="24"/>
          <w:lang w:eastAsia="ru-RU"/>
        </w:rPr>
        <w:t xml:space="preserve"> </w:t>
      </w:r>
      <w:r>
        <w:rPr>
          <w:rFonts w:eastAsia="Times New Roman"/>
          <w:lang w:eastAsia="ru-RU"/>
        </w:rPr>
        <w:t>последовательность событий, которые связаны друг с другом образами главных героев. Каждая глава произведения имеет особый смысл. Почти в каждой строчке поэмы отражается ненависть к врагу.</w:t>
      </w:r>
    </w:p>
    <w:p w14:paraId="7BC39FA4" w14:textId="763B0785" w:rsidR="00842998" w:rsidRPr="002432DA" w:rsidRDefault="00842998" w:rsidP="00842998">
      <w:pPr>
        <w:pStyle w:val="7"/>
        <w:rPr>
          <w:rFonts w:eastAsia="Times New Roman"/>
          <w:lang w:eastAsia="ru-RU"/>
        </w:rPr>
      </w:pPr>
      <w:r>
        <w:rPr>
          <w:rFonts w:eastAsia="Times New Roman"/>
          <w:lang w:eastAsia="ru-RU"/>
        </w:rPr>
        <w:t xml:space="preserve">При анализе поэмы «Три сына» необходимо уделить время центральным персонажам произведения. Молодые ребята – обычные крестьяне из-под Саратова, служившие бок о бок со своими боевыми товарищами. Благодаря героизму, твёрдости характера, сумели среди военных баталий отыскать и проявить крепость духа, волю к победе и </w:t>
      </w:r>
      <w:r>
        <w:rPr>
          <w:rFonts w:eastAsia="Times New Roman"/>
          <w:lang w:eastAsia="ru-RU"/>
        </w:rPr>
        <w:lastRenderedPageBreak/>
        <w:t xml:space="preserve">умение смотреть на жизнь позитивно. Братья в первую очередь, боролись </w:t>
      </w:r>
      <w:r w:rsidRPr="002432DA">
        <w:rPr>
          <w:rFonts w:eastAsia="Times New Roman"/>
          <w:lang w:eastAsia="ru-RU"/>
        </w:rPr>
        <w:t xml:space="preserve">за людскую жизнь и свободу своей Родины. </w:t>
      </w:r>
    </w:p>
    <w:p w14:paraId="3EF7D7F3" w14:textId="77777777" w:rsidR="00C37D12" w:rsidRDefault="00C37D12" w:rsidP="00C37D12">
      <w:pPr>
        <w:pStyle w:val="7"/>
        <w:rPr>
          <w:rFonts w:eastAsia="Times New Roman"/>
          <w:lang w:eastAsia="ru-RU"/>
        </w:rPr>
      </w:pPr>
      <w:r>
        <w:rPr>
          <w:rFonts w:eastAsia="Times New Roman"/>
          <w:lang w:eastAsia="ru-RU"/>
        </w:rPr>
        <w:t xml:space="preserve">Особого упоминания достойны женщины и девушки – подруги бойцов. С началом войны солдатам пришлось расстаться с ними. С большой теплотой автор поэмы описывает свою любимую супругу, которая работала медицинской сестрой в военном госпитале №360 города Саратова, и по воле случая выхаживала вместе с маленькой дочкой его брата Михаила, который был ранен в бою 24 ноября 1942 года и до мая 1943 года находился в госпитале, а затем по его просьбе был опять зачислен в ту же дивизию где сражались его два брата, и через шесть месяцев Михаил погиб. </w:t>
      </w:r>
    </w:p>
    <w:p w14:paraId="0520A941" w14:textId="77777777" w:rsidR="002E4BD4" w:rsidRDefault="002E4BD4" w:rsidP="002E4BD4">
      <w:pPr>
        <w:pStyle w:val="7"/>
        <w:rPr>
          <w:rFonts w:eastAsia="Calibri"/>
        </w:rPr>
      </w:pPr>
      <w:r>
        <w:rPr>
          <w:rFonts w:eastAsia="Times New Roman"/>
          <w:lang w:eastAsia="ru-RU"/>
        </w:rPr>
        <w:t xml:space="preserve">Много внимания Николай Иванович уделяет переживаниям старушке-матери, особенно в первой главе поэмы, в которой она </w:t>
      </w:r>
      <w:r>
        <w:rPr>
          <w:rFonts w:eastAsia="Calibri"/>
        </w:rPr>
        <w:t>провожает на фронт своих любимых сыновей, говоря им слова напутствия:</w:t>
      </w:r>
    </w:p>
    <w:p w14:paraId="5109E60C" w14:textId="77777777" w:rsidR="002E4BD4" w:rsidRPr="008E7234" w:rsidRDefault="002E4BD4" w:rsidP="002E4BD4">
      <w:pPr>
        <w:pStyle w:val="7"/>
        <w:rPr>
          <w:rFonts w:eastAsia="Calibri"/>
          <w:i/>
        </w:rPr>
      </w:pPr>
      <w:r w:rsidRPr="008E7234">
        <w:rPr>
          <w:rFonts w:eastAsia="Calibri"/>
          <w:i/>
        </w:rPr>
        <w:t xml:space="preserve">Будете драться, меня вспоминайте, </w:t>
      </w:r>
    </w:p>
    <w:p w14:paraId="03CB467C" w14:textId="77777777" w:rsidR="002E4BD4" w:rsidRPr="008E7234" w:rsidRDefault="002E4BD4" w:rsidP="002E4BD4">
      <w:pPr>
        <w:pStyle w:val="7"/>
        <w:rPr>
          <w:rFonts w:eastAsia="Calibri"/>
          <w:i/>
        </w:rPr>
      </w:pPr>
      <w:r w:rsidRPr="008E7234">
        <w:rPr>
          <w:rFonts w:eastAsia="Calibri"/>
          <w:i/>
        </w:rPr>
        <w:t>Знайте, что с вами и я,</w:t>
      </w:r>
    </w:p>
    <w:p w14:paraId="285BBAA5" w14:textId="77777777" w:rsidR="002E4BD4" w:rsidRPr="008E7234" w:rsidRDefault="002E4BD4" w:rsidP="002E4BD4">
      <w:pPr>
        <w:pStyle w:val="7"/>
        <w:rPr>
          <w:rFonts w:eastAsia="Calibri"/>
          <w:i/>
        </w:rPr>
      </w:pPr>
      <w:r w:rsidRPr="008E7234">
        <w:rPr>
          <w:rFonts w:eastAsia="Calibri"/>
          <w:i/>
        </w:rPr>
        <w:t xml:space="preserve">Только с победой домой возвращайтесь, </w:t>
      </w:r>
    </w:p>
    <w:p w14:paraId="62141D3D" w14:textId="77777777" w:rsidR="002E4BD4" w:rsidRDefault="002E4BD4" w:rsidP="002E4BD4">
      <w:pPr>
        <w:pStyle w:val="7"/>
        <w:rPr>
          <w:rFonts w:eastAsia="Calibri"/>
        </w:rPr>
      </w:pPr>
      <w:r w:rsidRPr="008E7234">
        <w:rPr>
          <w:rFonts w:eastAsia="Calibri"/>
          <w:i/>
        </w:rPr>
        <w:t xml:space="preserve">Просьба к вам будет моя </w:t>
      </w:r>
      <w:r>
        <w:rPr>
          <w:rFonts w:eastAsia="Times New Roman"/>
          <w:lang w:eastAsia="ru-RU"/>
        </w:rPr>
        <w:t>[4]</w:t>
      </w:r>
      <w:r>
        <w:rPr>
          <w:rFonts w:eastAsia="Calibri"/>
        </w:rPr>
        <w:t>.</w:t>
      </w:r>
    </w:p>
    <w:p w14:paraId="38B28A12" w14:textId="77777777" w:rsidR="002E4BD4" w:rsidRDefault="002E4BD4" w:rsidP="002E4BD4">
      <w:pPr>
        <w:pStyle w:val="7"/>
        <w:rPr>
          <w:lang w:eastAsia="ru-RU"/>
        </w:rPr>
      </w:pPr>
      <w:r>
        <w:rPr>
          <w:rFonts w:eastAsia="Times New Roman"/>
          <w:lang w:eastAsia="ru-RU"/>
        </w:rPr>
        <w:t xml:space="preserve">Автор максимально старался приблизить речь героев к живой разговорной. Главным лейтмотивом поэмы становятся отношения братьев, которые готовы отдать жизнь друг за друга, за своих близких и за свободу своей Родины. Верят в святость этой борьбы. Это воины, способные не только дать отпор коварному врагу, но и неунывающие перед сложными жизненными ситуациями, бойцы, преисполненные патриотизмом и верой в победу. </w:t>
      </w:r>
      <w:r>
        <w:rPr>
          <w:lang w:eastAsia="ru-RU"/>
        </w:rPr>
        <w:t>Сквозь строки поэмы Сунцов Николай Иванович пронес главную правду о войне, изложил</w:t>
      </w:r>
      <w:r>
        <w:rPr>
          <w:sz w:val="24"/>
          <w:szCs w:val="24"/>
          <w:lang w:eastAsia="ru-RU"/>
        </w:rPr>
        <w:t xml:space="preserve"> </w:t>
      </w:r>
      <w:r>
        <w:rPr>
          <w:lang w:eastAsia="ru-RU"/>
        </w:rPr>
        <w:t>свое восприятие действительности</w:t>
      </w:r>
      <w:r>
        <w:rPr>
          <w:sz w:val="24"/>
          <w:szCs w:val="24"/>
          <w:lang w:eastAsia="ru-RU"/>
        </w:rPr>
        <w:t xml:space="preserve">, </w:t>
      </w:r>
      <w:r>
        <w:rPr>
          <w:lang w:eastAsia="ru-RU"/>
        </w:rPr>
        <w:t>а также о том каким нелегким был его боевой путь к победе.</w:t>
      </w:r>
    </w:p>
    <w:p w14:paraId="3467B75F" w14:textId="77777777" w:rsidR="002E4BD4" w:rsidRDefault="002E4BD4" w:rsidP="002E4BD4">
      <w:pPr>
        <w:pStyle w:val="7"/>
        <w:rPr>
          <w:lang w:eastAsia="ru-RU"/>
        </w:rPr>
      </w:pPr>
      <w:r>
        <w:rPr>
          <w:lang w:eastAsia="ru-RU"/>
        </w:rPr>
        <w:t xml:space="preserve">Эта война изменила ход мировой истории, судьбы людей, в том числе и семьи Сунцовых. Наш народ противостоял мощному натиску высокоорганизованного и хорошо вооружённого противника — нацистской Германии и её союзников. Все дальше и дальше от нас эти героические и трагические годы. Благодаря семейному архиву Сунцовых, все материалы будут передаваться из поколения в поколение, донося до потомков </w:t>
      </w:r>
      <w:r>
        <w:t>воспоминая минувшей войны. Этим способом можно отдать дань уважения памяти павших героев.  Размышляя о настоящем и о будущем, хочется верить в то, что чудовищный огонь войны никогда больше не опалит нашу Беларусь.</w:t>
      </w:r>
    </w:p>
    <w:p w14:paraId="20D3BBF7" w14:textId="77777777" w:rsidR="002432DA" w:rsidRDefault="002432DA" w:rsidP="00842998">
      <w:pPr>
        <w:pStyle w:val="7"/>
        <w:rPr>
          <w:rFonts w:eastAsia="Times New Roman"/>
          <w:lang w:eastAsia="ru-RU"/>
        </w:rPr>
      </w:pPr>
    </w:p>
    <w:p w14:paraId="310D9186" w14:textId="77777777" w:rsidR="002432DA" w:rsidRPr="002432DA" w:rsidRDefault="002432DA" w:rsidP="002432DA">
      <w:pPr>
        <w:spacing w:after="0" w:line="240" w:lineRule="auto"/>
        <w:jc w:val="center"/>
        <w:rPr>
          <w:rFonts w:eastAsia="Times New Roman"/>
          <w:lang w:eastAsia="ru-RU"/>
        </w:rPr>
      </w:pPr>
      <w:r w:rsidRPr="002432DA">
        <w:rPr>
          <w:rFonts w:eastAsia="Times New Roman"/>
          <w:noProof/>
          <w:lang w:eastAsia="ru-RU"/>
        </w:rPr>
        <w:lastRenderedPageBreak/>
        <w:drawing>
          <wp:inline distT="0" distB="0" distL="0" distR="0" wp14:anchorId="24295274" wp14:editId="033D00DC">
            <wp:extent cx="5022376" cy="7227288"/>
            <wp:effectExtent l="0" t="0" r="6985" b="0"/>
            <wp:docPr id="3" name="Рисунок 3" descr="Описание: F:\Сунцов Н.И к дню Победы\Сунцов Н.И\Scan0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Сунцов Н.И к дню Победы\Сунцов Н.И\Scan0030.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619" cy="7229076"/>
                    </a:xfrm>
                    <a:prstGeom prst="rect">
                      <a:avLst/>
                    </a:prstGeom>
                    <a:noFill/>
                    <a:ln>
                      <a:noFill/>
                    </a:ln>
                  </pic:spPr>
                </pic:pic>
              </a:graphicData>
            </a:graphic>
          </wp:inline>
        </w:drawing>
      </w:r>
    </w:p>
    <w:p w14:paraId="7094A050" w14:textId="77777777" w:rsidR="002432DA" w:rsidRPr="002432DA" w:rsidRDefault="002432DA" w:rsidP="002432DA">
      <w:pPr>
        <w:pStyle w:val="7"/>
        <w:rPr>
          <w:lang w:eastAsia="ru-RU"/>
        </w:rPr>
      </w:pPr>
    </w:p>
    <w:p w14:paraId="10D706B7" w14:textId="77777777" w:rsidR="002432DA" w:rsidRPr="008E7234" w:rsidRDefault="002432DA" w:rsidP="002432DA">
      <w:pPr>
        <w:pStyle w:val="7"/>
        <w:ind w:firstLine="0"/>
        <w:jc w:val="center"/>
        <w:rPr>
          <w:sz w:val="24"/>
          <w:szCs w:val="24"/>
          <w:lang w:eastAsia="ru-RU"/>
        </w:rPr>
      </w:pPr>
      <w:r w:rsidRPr="008E7234">
        <w:rPr>
          <w:sz w:val="24"/>
          <w:szCs w:val="24"/>
          <w:lang w:eastAsia="ru-RU"/>
        </w:rPr>
        <w:t>Рис. Обложка поэмы «Три сына» и фото ее героев [4].</w:t>
      </w:r>
    </w:p>
    <w:p w14:paraId="75DEB125" w14:textId="77777777" w:rsidR="002432DA" w:rsidRDefault="002432DA" w:rsidP="00842998">
      <w:pPr>
        <w:pStyle w:val="7"/>
        <w:rPr>
          <w:rFonts w:eastAsia="Times New Roman"/>
          <w:lang w:eastAsia="ru-RU"/>
        </w:rPr>
      </w:pPr>
    </w:p>
    <w:p w14:paraId="391CF0EF" w14:textId="77777777" w:rsidR="00842998" w:rsidRDefault="00842998" w:rsidP="008E7234">
      <w:pPr>
        <w:pStyle w:val="7"/>
        <w:rPr>
          <w:lang w:eastAsia="ru-RU"/>
        </w:rPr>
      </w:pPr>
    </w:p>
    <w:p w14:paraId="09F28165" w14:textId="77777777" w:rsidR="002E4BD4" w:rsidRDefault="002E4BD4" w:rsidP="008E7234">
      <w:pPr>
        <w:pStyle w:val="7"/>
        <w:rPr>
          <w:lang w:eastAsia="ru-RU"/>
        </w:rPr>
      </w:pPr>
    </w:p>
    <w:p w14:paraId="160F9F28" w14:textId="12E0EF56" w:rsidR="00842998" w:rsidRPr="008E7234" w:rsidRDefault="00842998" w:rsidP="006F6A4F">
      <w:pPr>
        <w:pStyle w:val="8"/>
        <w:numPr>
          <w:ilvl w:val="0"/>
          <w:numId w:val="30"/>
        </w:numPr>
        <w:ind w:left="0" w:firstLine="709"/>
        <w:rPr>
          <w:rStyle w:val="a9"/>
          <w:color w:val="auto"/>
        </w:rPr>
      </w:pPr>
      <w:r w:rsidRPr="008E7234">
        <w:rPr>
          <w:shd w:val="clear" w:color="auto" w:fill="FFFFFF"/>
        </w:rPr>
        <w:lastRenderedPageBreak/>
        <w:t>Аленькова, Ю. В. Великая Отечественная война в исторической памяти белорусов / Ю. В. Аленькова // Итоги научных исследований ученых МГУ имени А. А. Кулешова, 2019 г.: материалы научно-методической конференции, 29</w:t>
      </w:r>
      <w:r w:rsidRPr="008E7234">
        <w:rPr>
          <w:rFonts w:ascii="Helvetica" w:hAnsi="Helvetica"/>
          <w:sz w:val="21"/>
          <w:szCs w:val="21"/>
          <w:shd w:val="clear" w:color="auto" w:fill="FFFFFF"/>
        </w:rPr>
        <w:t xml:space="preserve"> </w:t>
      </w:r>
      <w:r w:rsidRPr="008E7234">
        <w:rPr>
          <w:shd w:val="clear" w:color="auto" w:fill="FFFFFF"/>
        </w:rPr>
        <w:t xml:space="preserve">января </w:t>
      </w:r>
      <w:r w:rsidR="008E7234">
        <w:rPr>
          <w:shd w:val="clear" w:color="auto" w:fill="FFFFFF"/>
          <w:lang w:val="ru-RU"/>
        </w:rPr>
        <w:t>–</w:t>
      </w:r>
      <w:r w:rsidRPr="008E7234">
        <w:rPr>
          <w:shd w:val="clear" w:color="auto" w:fill="FFFFFF"/>
        </w:rPr>
        <w:t xml:space="preserve"> 10 февраля 2020 г. / под ред. Н. В. Маковской, Е. К. Сычовой. – Могилев: МГУ имени А. А. Кулешова, 2020. – С. 4–6.</w:t>
      </w:r>
      <w:r w:rsidRPr="008E7234">
        <w:t xml:space="preserve"> </w:t>
      </w:r>
    </w:p>
    <w:p w14:paraId="7059748E" w14:textId="778D6219" w:rsidR="00842998" w:rsidRPr="008E7234" w:rsidRDefault="00842998" w:rsidP="008E7234">
      <w:pPr>
        <w:pStyle w:val="8"/>
      </w:pPr>
      <w:r w:rsidRPr="008E7234">
        <w:t xml:space="preserve"> </w:t>
      </w:r>
      <w:r w:rsidRPr="008E7234">
        <w:rPr>
          <w:shd w:val="clear" w:color="auto" w:fill="FFFFFF"/>
        </w:rPr>
        <w:t xml:space="preserve">Денисова, Н.Ф. </w:t>
      </w:r>
      <w:r w:rsidRPr="008E7234">
        <w:t>Историческая память белорусов: социологический анализ /</w:t>
      </w:r>
      <w:r w:rsidR="008E7234">
        <w:rPr>
          <w:lang w:val="ru-RU"/>
        </w:rPr>
        <w:t xml:space="preserve"> </w:t>
      </w:r>
      <w:r w:rsidRPr="008E7234">
        <w:t>Н.</w:t>
      </w:r>
      <w:r w:rsidR="008E7234">
        <w:rPr>
          <w:lang w:val="ru-RU"/>
        </w:rPr>
        <w:t xml:space="preserve"> </w:t>
      </w:r>
      <w:r w:rsidRPr="008E7234">
        <w:t>Ф. Денисова, Н.</w:t>
      </w:r>
      <w:r w:rsidR="008E7234">
        <w:rPr>
          <w:lang w:val="ru-RU"/>
        </w:rPr>
        <w:t xml:space="preserve"> </w:t>
      </w:r>
      <w:r w:rsidRPr="008E7234">
        <w:t xml:space="preserve">М. </w:t>
      </w:r>
      <w:r w:rsidRPr="008E7234">
        <w:rPr>
          <w:shd w:val="clear" w:color="auto" w:fill="FFFFFF"/>
        </w:rPr>
        <w:t xml:space="preserve">Бровчук </w:t>
      </w:r>
      <w:r w:rsidRPr="008E7234">
        <w:t>//</w:t>
      </w:r>
      <w:r w:rsidRPr="008E7234">
        <w:rPr>
          <w:shd w:val="clear" w:color="auto" w:fill="FFFFFF"/>
        </w:rPr>
        <w:t>Весці Нацыянальнай акадэміі навук Беларусі. Серыя гуманітарных навук. 2018.</w:t>
      </w:r>
      <w:r w:rsidR="008E7234">
        <w:rPr>
          <w:shd w:val="clear" w:color="auto" w:fill="FFFFFF"/>
          <w:lang w:val="ru-RU"/>
        </w:rPr>
        <w:t xml:space="preserve"> –</w:t>
      </w:r>
      <w:r w:rsidR="008E7234">
        <w:rPr>
          <w:shd w:val="clear" w:color="auto" w:fill="FFFFFF"/>
        </w:rPr>
        <w:t xml:space="preserve"> Т. 63</w:t>
      </w:r>
      <w:r w:rsidR="008E7234">
        <w:rPr>
          <w:shd w:val="clear" w:color="auto" w:fill="FFFFFF"/>
          <w:lang w:val="ru-RU"/>
        </w:rPr>
        <w:t>. –</w:t>
      </w:r>
      <w:r w:rsidRPr="008E7234">
        <w:rPr>
          <w:shd w:val="clear" w:color="auto" w:fill="FFFFFF"/>
        </w:rPr>
        <w:t xml:space="preserve"> No 1. </w:t>
      </w:r>
      <w:r w:rsidR="008E7234">
        <w:rPr>
          <w:shd w:val="clear" w:color="auto" w:fill="FFFFFF"/>
          <w:lang w:val="ru-RU"/>
        </w:rPr>
        <w:t xml:space="preserve">– </w:t>
      </w:r>
      <w:r w:rsidRPr="008E7234">
        <w:rPr>
          <w:shd w:val="clear" w:color="auto" w:fill="FFFFFF"/>
        </w:rPr>
        <w:t>С. 21–32</w:t>
      </w:r>
      <w:r w:rsidR="008E7234">
        <w:rPr>
          <w:shd w:val="clear" w:color="auto" w:fill="FFFFFF"/>
          <w:lang w:val="ru-RU"/>
        </w:rPr>
        <w:t>.</w:t>
      </w:r>
    </w:p>
    <w:p w14:paraId="32D9602D" w14:textId="61BF4D28" w:rsidR="00842998" w:rsidRPr="008E7234" w:rsidRDefault="00842998" w:rsidP="008E7234">
      <w:pPr>
        <w:pStyle w:val="8"/>
      </w:pPr>
      <w:r w:rsidRPr="008E7234">
        <w:t>Саковец, Я.</w:t>
      </w:r>
      <w:r w:rsidR="008E7234">
        <w:rPr>
          <w:lang w:val="ru-RU"/>
        </w:rPr>
        <w:t xml:space="preserve"> </w:t>
      </w:r>
      <w:r w:rsidRPr="008E7234">
        <w:t xml:space="preserve">С. </w:t>
      </w:r>
      <w:r w:rsidRPr="008E7234">
        <w:rPr>
          <w:shd w:val="clear" w:color="auto" w:fill="FFFFFF"/>
        </w:rPr>
        <w:t>Политика по сохранению памяти о Великой Отечественной войне в Республике Беларусь</w:t>
      </w:r>
      <w:r w:rsidRPr="008E7234">
        <w:t xml:space="preserve"> / Я. С. Саковец // </w:t>
      </w:r>
      <w:r w:rsidRPr="008E7234">
        <w:rPr>
          <w:shd w:val="clear" w:color="auto" w:fill="FFFFFF"/>
        </w:rPr>
        <w:t>79-я научная конференция студентов и аспирантов Белорусского государственного университета : материалы конф., Минск, 10–21 мая 2022 г. В 3 ч. Ч. 3 / Белорус. гос. ун-т ; редкол.: В. Г. Сафонов (гл. ред.) [и др.]. – Минск : БГУ, 2023. – С. 189</w:t>
      </w:r>
      <w:r w:rsidR="008E7234">
        <w:rPr>
          <w:shd w:val="clear" w:color="auto" w:fill="FFFFFF"/>
          <w:lang w:val="ru-RU"/>
        </w:rPr>
        <w:t>–</w:t>
      </w:r>
      <w:r w:rsidRPr="008E7234">
        <w:rPr>
          <w:shd w:val="clear" w:color="auto" w:fill="FFFFFF"/>
        </w:rPr>
        <w:t>192.</w:t>
      </w:r>
      <w:r w:rsidRPr="008E7234">
        <w:t xml:space="preserve"> </w:t>
      </w:r>
    </w:p>
    <w:p w14:paraId="584B6A19" w14:textId="2412EDA4" w:rsidR="00842998" w:rsidRPr="008E7234" w:rsidRDefault="00842998" w:rsidP="008E7234">
      <w:pPr>
        <w:pStyle w:val="8"/>
      </w:pPr>
      <w:r w:rsidRPr="008E7234">
        <w:t>Семейный архив Сунцовых</w:t>
      </w:r>
      <w:r w:rsidR="008E7234">
        <w:rPr>
          <w:lang w:val="ru-RU"/>
        </w:rPr>
        <w:t>.</w:t>
      </w:r>
    </w:p>
    <w:p w14:paraId="6032336C" w14:textId="05F95F22" w:rsidR="00842998" w:rsidRPr="008E7234" w:rsidRDefault="00842998" w:rsidP="008E7234">
      <w:pPr>
        <w:pStyle w:val="8"/>
      </w:pPr>
      <w:r w:rsidRPr="008E7234">
        <w:t>Информационная система Департамента Министерства обороны Российской Федерации по увековечению памяти погибших при защите Отечества «Память народа» [Электронный ресурс]. – Режим доступа:</w:t>
      </w:r>
      <w:r w:rsidRPr="008E7234">
        <w:rPr>
          <w:rFonts w:ascii="Arial" w:hAnsi="Arial" w:cs="Arial"/>
          <w:sz w:val="21"/>
          <w:szCs w:val="21"/>
        </w:rPr>
        <w:t xml:space="preserve"> </w:t>
      </w:r>
      <w:r w:rsidRPr="008E7234">
        <w:t>https://pamyat-naroda.ru/heroes/kld. – Дата доступа</w:t>
      </w:r>
      <w:r w:rsidR="008E7234">
        <w:rPr>
          <w:lang w:val="ru-RU"/>
        </w:rPr>
        <w:t>:</w:t>
      </w:r>
      <w:r w:rsidRPr="008E7234">
        <w:t xml:space="preserve"> 16.05.2024</w:t>
      </w:r>
    </w:p>
    <w:p w14:paraId="6FE981B3" w14:textId="77777777" w:rsidR="002432DA" w:rsidRPr="00BC7234" w:rsidRDefault="002432DA" w:rsidP="002432DA">
      <w:pPr>
        <w:pStyle w:val="7"/>
      </w:pPr>
    </w:p>
    <w:p w14:paraId="348B5117" w14:textId="337513CF" w:rsidR="00F31571" w:rsidRDefault="000C69B3" w:rsidP="003B5B5B">
      <w:pPr>
        <w:pStyle w:val="Standard"/>
        <w:jc w:val="center"/>
        <w:rPr>
          <w:rFonts w:ascii="Times New Roman" w:hAnsi="Times New Roman" w:cs="Times New Roman"/>
          <w:bCs/>
          <w:sz w:val="28"/>
          <w:szCs w:val="28"/>
          <w:lang w:val="be-BY"/>
        </w:rPr>
      </w:pPr>
      <w:hyperlink w:anchor="_СОДЕРЖАНИЕ" w:history="1">
        <w:r w:rsidR="002432DA" w:rsidRPr="009D63FE">
          <w:rPr>
            <w:rStyle w:val="a9"/>
            <w:rFonts w:ascii="Times New Roman" w:hAnsi="Times New Roman" w:cs="Times New Roman"/>
            <w:i/>
            <w:color w:val="auto"/>
            <w:sz w:val="28"/>
            <w:szCs w:val="28"/>
            <w:u w:val="none"/>
            <w:lang w:val="be-BY"/>
          </w:rPr>
          <w:t>К содержанию</w:t>
        </w:r>
      </w:hyperlink>
      <w:r w:rsidR="00F31571">
        <w:rPr>
          <w:rFonts w:ascii="Times New Roman" w:hAnsi="Times New Roman" w:cs="Times New Roman"/>
          <w:bCs/>
          <w:sz w:val="28"/>
          <w:szCs w:val="28"/>
          <w:lang w:val="be-BY"/>
        </w:rPr>
        <w:br w:type="page"/>
      </w:r>
    </w:p>
    <w:p w14:paraId="7B94FEB0" w14:textId="7D5BA97D" w:rsidR="00F7633C" w:rsidRPr="002432DA" w:rsidRDefault="002432DA" w:rsidP="002432DA">
      <w:pPr>
        <w:pStyle w:val="1"/>
      </w:pPr>
      <w:bookmarkStart w:id="78" w:name="_ИСТОРИЯ_БЕЛАРУСИ,_РЕГИОНАЛЬНАЯ"/>
      <w:bookmarkStart w:id="79" w:name="_РЕГИОНАЛЬНАЯ_ИСТОРИЯ"/>
      <w:bookmarkStart w:id="80" w:name="_Toc120064259"/>
      <w:bookmarkStart w:id="81" w:name="_Toc151514639"/>
      <w:bookmarkStart w:id="82" w:name="_Toc181884611"/>
      <w:bookmarkStart w:id="83" w:name="_Toc181894103"/>
      <w:bookmarkStart w:id="84" w:name="_Toc181881115"/>
      <w:bookmarkEnd w:id="78"/>
      <w:bookmarkEnd w:id="79"/>
      <w:r w:rsidRPr="002432DA">
        <w:lastRenderedPageBreak/>
        <w:t xml:space="preserve">ИСТОРИЯ БЕЛАРУСИ. </w:t>
      </w:r>
      <w:r w:rsidR="00F7633C" w:rsidRPr="002432DA">
        <w:t>РЕГИОНАЛЬНАЯ ИСТОРИЯ</w:t>
      </w:r>
      <w:bookmarkEnd w:id="80"/>
      <w:bookmarkEnd w:id="81"/>
      <w:bookmarkEnd w:id="82"/>
      <w:bookmarkEnd w:id="83"/>
      <w:r w:rsidR="00F31571" w:rsidRPr="002432DA">
        <w:t xml:space="preserve"> </w:t>
      </w:r>
      <w:bookmarkEnd w:id="84"/>
    </w:p>
    <w:p w14:paraId="1DFBB26E" w14:textId="77777777" w:rsidR="00F7633C" w:rsidRPr="00F7633C" w:rsidRDefault="00F7633C" w:rsidP="00E25B19">
      <w:pPr>
        <w:spacing w:after="0" w:line="240" w:lineRule="auto"/>
        <w:ind w:firstLine="709"/>
        <w:rPr>
          <w:rFonts w:ascii="Times New Roman" w:hAnsi="Times New Roman" w:cs="Times New Roman"/>
          <w:sz w:val="28"/>
          <w:lang w:val="be-BY"/>
        </w:rPr>
      </w:pPr>
    </w:p>
    <w:p w14:paraId="5BF8EF9D" w14:textId="77777777" w:rsidR="00F7633C" w:rsidRPr="00F7633C" w:rsidRDefault="00F7633C" w:rsidP="00E25B19">
      <w:pPr>
        <w:spacing w:after="0" w:line="240" w:lineRule="auto"/>
        <w:ind w:firstLine="709"/>
        <w:rPr>
          <w:rFonts w:ascii="Times New Roman" w:hAnsi="Times New Roman" w:cs="Times New Roman"/>
          <w:sz w:val="28"/>
          <w:lang w:val="be-BY"/>
        </w:rPr>
      </w:pPr>
    </w:p>
    <w:p w14:paraId="4C86DB3F" w14:textId="77777777" w:rsidR="0067444A" w:rsidRDefault="0067444A" w:rsidP="0067444A">
      <w:pPr>
        <w:pStyle w:val="12"/>
      </w:pPr>
      <w:r>
        <w:t>УДК 94(477.75)”18”:929 Скирмунт</w:t>
      </w:r>
    </w:p>
    <w:p w14:paraId="5A2BF737" w14:textId="77777777" w:rsidR="0067444A" w:rsidRDefault="0067444A" w:rsidP="0067444A">
      <w:pPr>
        <w:pStyle w:val="14"/>
      </w:pPr>
      <w:bookmarkStart w:id="85" w:name="_Toc181884612"/>
      <w:bookmarkStart w:id="86" w:name="_Toc181894104"/>
      <w:r>
        <w:t>А. С. МОКИЕВЕЦ</w:t>
      </w:r>
      <w:bookmarkEnd w:id="85"/>
      <w:bookmarkEnd w:id="86"/>
      <w:r>
        <w:t xml:space="preserve"> </w:t>
      </w:r>
    </w:p>
    <w:p w14:paraId="6C95E33D" w14:textId="2BA0AD13" w:rsidR="0067444A" w:rsidRDefault="0067444A" w:rsidP="0067444A">
      <w:pPr>
        <w:pStyle w:val="3"/>
        <w:rPr>
          <w:lang w:val="be-BY"/>
        </w:rPr>
      </w:pPr>
      <w:r>
        <w:rPr>
          <w:lang w:val="be-BY"/>
        </w:rPr>
        <w:t>Гродно, ГрГУ имени Янки Купалы</w:t>
      </w:r>
    </w:p>
    <w:p w14:paraId="4D3B95D1" w14:textId="4C435C59" w:rsidR="0067444A" w:rsidRPr="0067444A" w:rsidRDefault="0067444A" w:rsidP="0067444A">
      <w:pPr>
        <w:pStyle w:val="4"/>
        <w:rPr>
          <w:lang w:val="ru-RU"/>
        </w:rPr>
      </w:pPr>
      <w:r>
        <w:t>Научный руководитель: В.А. Белозорович, д</w:t>
      </w:r>
      <w:r>
        <w:rPr>
          <w:lang w:val="ru-RU"/>
        </w:rPr>
        <w:t>.</w:t>
      </w:r>
      <w:r>
        <w:t>и</w:t>
      </w:r>
      <w:r>
        <w:rPr>
          <w:lang w:val="ru-RU"/>
        </w:rPr>
        <w:t>.</w:t>
      </w:r>
      <w:r>
        <w:t>н</w:t>
      </w:r>
      <w:r>
        <w:rPr>
          <w:lang w:val="ru-RU"/>
        </w:rPr>
        <w:t>.</w:t>
      </w:r>
      <w:r>
        <w:t>, доцент</w:t>
      </w:r>
    </w:p>
    <w:p w14:paraId="01EF5A1B" w14:textId="77777777" w:rsidR="0067444A" w:rsidRDefault="0067444A" w:rsidP="0067444A">
      <w:pPr>
        <w:pStyle w:val="7"/>
      </w:pPr>
    </w:p>
    <w:p w14:paraId="566075DB" w14:textId="77777777" w:rsidR="0067444A" w:rsidRDefault="0067444A" w:rsidP="0067444A">
      <w:pPr>
        <w:pStyle w:val="5"/>
      </w:pPr>
      <w:r>
        <w:t>КРЫМСКИЙ ПЕРИОД ЖИЗНИ КАЗИМИРА СКИРМУНТА (1824–1893)</w:t>
      </w:r>
    </w:p>
    <w:p w14:paraId="4D96274E" w14:textId="77777777" w:rsidR="0067444A" w:rsidRDefault="0067444A" w:rsidP="0067444A">
      <w:pPr>
        <w:pStyle w:val="7"/>
      </w:pPr>
    </w:p>
    <w:p w14:paraId="146EB687" w14:textId="77777777" w:rsidR="0067444A" w:rsidRDefault="0067444A" w:rsidP="0067444A">
      <w:pPr>
        <w:pStyle w:val="6"/>
      </w:pPr>
      <w:r>
        <w:t xml:space="preserve">Статья посвящена деятельности во второй половине </w:t>
      </w:r>
      <w:r>
        <w:rPr>
          <w:lang w:val="en-US"/>
        </w:rPr>
        <w:t>XIX</w:t>
      </w:r>
      <w:r w:rsidRPr="0097408C">
        <w:rPr>
          <w:lang w:val="ru-RU"/>
        </w:rPr>
        <w:t xml:space="preserve"> </w:t>
      </w:r>
      <w:r>
        <w:t xml:space="preserve">века Казимира Скирмунта в «крымский период» его жизни. Рассматриваются меры по развитию предпринимательства в сфере винокурения и курортного бизнеса, общественно-политической и культурной. Приводятся сведения о ценах и ассортименте продукции, оказываемых услугах. </w:t>
      </w:r>
    </w:p>
    <w:p w14:paraId="765D0EB0" w14:textId="77777777" w:rsidR="0067444A" w:rsidRDefault="0067444A" w:rsidP="0067444A">
      <w:pPr>
        <w:pStyle w:val="7"/>
      </w:pPr>
    </w:p>
    <w:p w14:paraId="6B09783C" w14:textId="77777777" w:rsidR="0067444A" w:rsidRDefault="0067444A" w:rsidP="0067444A">
      <w:pPr>
        <w:pStyle w:val="7"/>
      </w:pPr>
      <w:r>
        <w:t>Скирмунты герба «Дуб» – крупный белорусско-литовский шляхетский род, берущий свое начало в Новогрудском княжестве. Легендарный князь Новогрудка Скирмунт, сын князя Мингайло, в XIIІ в. успешно воевал с монголами. Известно, что в 1355 г. старостой пинским был назначен Василий Скирмунт, а шляхтич Богуш Скирмунт в 1521 г. получил имение от королевы Боны Сфорцы. В конце XVIII ст. помимо пинской появились еще одна ветвь – молодовская, к которой принадлежал Казимир Скирмунт.</w:t>
      </w:r>
    </w:p>
    <w:p w14:paraId="65569134" w14:textId="77777777" w:rsidR="0067444A" w:rsidRDefault="0067444A" w:rsidP="0067444A">
      <w:pPr>
        <w:pStyle w:val="7"/>
        <w:rPr>
          <w:lang w:val="be-BY"/>
        </w:rPr>
      </w:pPr>
      <w:r>
        <w:rPr>
          <w:lang w:val="be-BY"/>
        </w:rPr>
        <w:t xml:space="preserve">Казимир Маврикий Шимон Скирмунт (1824–1893) родился в имении Молодово Кобринского уезда. Отец – Александр Изидор Скирмунт (1798–1870), изобретатель, предприниматель и инноватор. Мать – Констанция Сулистровская. Он закончил гимназию в Митаве, затем в 1847 г. – Санкт-Петербургский университет «по </w:t>
      </w:r>
      <w:r>
        <w:rPr>
          <w:lang w:val="en-US"/>
        </w:rPr>
        <w:t>II</w:t>
      </w:r>
      <w:r>
        <w:t>-</w:t>
      </w:r>
      <w:r>
        <w:rPr>
          <w:lang w:val="be-BY"/>
        </w:rPr>
        <w:t xml:space="preserve">му Отделенію Філософскаго Факультета: По разряду Естественных наук» </w:t>
      </w:r>
      <w:r w:rsidRPr="0097408C">
        <w:t>[1]</w:t>
      </w:r>
      <w:r>
        <w:rPr>
          <w:lang w:val="be-BY"/>
        </w:rPr>
        <w:t xml:space="preserve">. </w:t>
      </w:r>
    </w:p>
    <w:p w14:paraId="450D5806" w14:textId="77777777" w:rsidR="0067444A" w:rsidRDefault="0067444A" w:rsidP="0067444A">
      <w:pPr>
        <w:pStyle w:val="7"/>
        <w:rPr>
          <w:lang w:val="be-BY"/>
        </w:rPr>
      </w:pPr>
      <w:r>
        <w:rPr>
          <w:lang w:val="be-BY"/>
        </w:rPr>
        <w:t>Активно занимался общественной деятельностью. Был инициатором создания акционерного общества Литовской железной дороги. Работал посредником в правлении по делам крестьян</w:t>
      </w:r>
      <w:r w:rsidRPr="0097408C">
        <w:t xml:space="preserve"> [5]</w:t>
      </w:r>
      <w:r>
        <w:rPr>
          <w:lang w:val="be-BY"/>
        </w:rPr>
        <w:t>.</w:t>
      </w:r>
    </w:p>
    <w:p w14:paraId="2BF6B9BE" w14:textId="77777777" w:rsidR="0067444A" w:rsidRDefault="0067444A" w:rsidP="0067444A">
      <w:pPr>
        <w:pStyle w:val="7"/>
        <w:rPr>
          <w:lang w:val="be-BY"/>
        </w:rPr>
      </w:pPr>
      <w:r>
        <w:rPr>
          <w:lang w:val="be-BY"/>
        </w:rPr>
        <w:t>Казимир Скирмунт взял в жены художницу и скульптора Хелену Скирмунт (1827–1874). У них родились четверо детей: Констанция (1851–1934), Александра (1857-?), Ирены (?-?) и Станислава (?-?). Владел имениями Колодное и Рухча. Представлял Пинский уезд в Минском губернском комитете улучшения крестьянской жизни</w:t>
      </w:r>
      <w:r>
        <w:t xml:space="preserve"> [3]</w:t>
      </w:r>
      <w:r>
        <w:rPr>
          <w:lang w:val="be-BY"/>
        </w:rPr>
        <w:t>.</w:t>
      </w:r>
    </w:p>
    <w:p w14:paraId="33408684" w14:textId="77777777" w:rsidR="0067444A" w:rsidRDefault="0067444A" w:rsidP="0067444A">
      <w:pPr>
        <w:pStyle w:val="7"/>
        <w:rPr>
          <w:lang w:val="be-BY"/>
        </w:rPr>
      </w:pPr>
      <w:r>
        <w:rPr>
          <w:lang w:val="be-BY"/>
        </w:rPr>
        <w:t xml:space="preserve">В Крым его привела судьба повстанца. В 1863 г., после начала восстания Калиновского, он покинул должность мирового посредника и отказался подписать «адрес» на имя императора, в котором шляхта </w:t>
      </w:r>
      <w:r>
        <w:rPr>
          <w:lang w:val="be-BY"/>
        </w:rPr>
        <w:lastRenderedPageBreak/>
        <w:t>гарантировала верность императорскому престолу</w:t>
      </w:r>
      <w:r>
        <w:t xml:space="preserve"> [10]</w:t>
      </w:r>
      <w:r>
        <w:rPr>
          <w:lang w:val="be-BY"/>
        </w:rPr>
        <w:t>. Это вызвало недовольство властей. В это же время его жена Хелена Скирмунт (1824–1874) была поймана с депешей одному из лидеров повстанцев и арестована</w:t>
      </w:r>
      <w:r>
        <w:t xml:space="preserve"> [3]</w:t>
      </w:r>
      <w:r>
        <w:rPr>
          <w:lang w:val="be-BY"/>
        </w:rPr>
        <w:t xml:space="preserve">. </w:t>
      </w:r>
    </w:p>
    <w:p w14:paraId="4D753D49" w14:textId="26D1EED2" w:rsidR="0067444A" w:rsidRDefault="0067444A" w:rsidP="0067444A">
      <w:pPr>
        <w:pStyle w:val="7"/>
        <w:rPr>
          <w:lang w:val="be-BY"/>
        </w:rPr>
      </w:pPr>
      <w:r>
        <w:rPr>
          <w:lang w:val="be-BY"/>
        </w:rPr>
        <w:t>Казимир и Хелена были лишены своего имущества и высланы в Тамбов, откуда Казимир в 1868 г. переехал в Балаклаву (Ялтинский уезд) – небольшой город у Севастополя. Там в это время его отец выращивал виноград рейнских и венгерских сортов на приобретенных ранее 400 моргах земли. По прибытию Казимир смог вывести виноградники на прибыль, после чего получил управление всем имуществом в Крыму.</w:t>
      </w:r>
    </w:p>
    <w:p w14:paraId="25BCF05D" w14:textId="77777777" w:rsidR="0067444A" w:rsidRDefault="0067444A" w:rsidP="0067444A">
      <w:pPr>
        <w:pStyle w:val="7"/>
        <w:rPr>
          <w:lang w:val="be-BY"/>
        </w:rPr>
      </w:pPr>
      <w:r>
        <w:rPr>
          <w:lang w:val="be-BY"/>
        </w:rPr>
        <w:t xml:space="preserve">Необходимо отметить, что, не смотря на свое положение ссыльного (только в 1874 г. были сняты ограничения), в Крыму Казимир активно занимался общественно-политической деятельностью. По данным Александра Ефимова, в 1884 г. Казимир Скирмунт занял место председателя комитета по строительству Римско-католической церкви (ныне приход святого Климента в Севастополе). 12 апреля 1892 г. он стал членом «Общества спасения на водах». Занимал должность титулярного советника. </w:t>
      </w:r>
    </w:p>
    <w:p w14:paraId="5C5DE744" w14:textId="77777777" w:rsidR="0067444A" w:rsidRDefault="0067444A" w:rsidP="0067444A">
      <w:pPr>
        <w:pStyle w:val="7"/>
      </w:pPr>
      <w:r>
        <w:rPr>
          <w:lang w:val="be-BY"/>
        </w:rPr>
        <w:t>Как и его близкие родственники, Казимир активно занимался меценатством и старался помочь всем. Так, Казимир состоял в «</w:t>
      </w:r>
      <w:r>
        <w:rPr>
          <w:lang w:val="en-US"/>
        </w:rPr>
        <w:t>Towarzystwie</w:t>
      </w:r>
      <w:r>
        <w:rPr>
          <w:lang w:val="be-BY"/>
        </w:rPr>
        <w:t xml:space="preserve"> </w:t>
      </w:r>
      <w:r>
        <w:rPr>
          <w:lang w:val="en-US"/>
        </w:rPr>
        <w:t>zachety</w:t>
      </w:r>
      <w:r>
        <w:rPr>
          <w:lang w:val="be-BY"/>
        </w:rPr>
        <w:t xml:space="preserve"> </w:t>
      </w:r>
      <w:r>
        <w:rPr>
          <w:lang w:val="en-US"/>
        </w:rPr>
        <w:t>sztuk</w:t>
      </w:r>
      <w:r>
        <w:rPr>
          <w:lang w:val="be-BY"/>
        </w:rPr>
        <w:t xml:space="preserve"> </w:t>
      </w:r>
      <w:r>
        <w:rPr>
          <w:lang w:val="en-US"/>
        </w:rPr>
        <w:t>pieknich</w:t>
      </w:r>
      <w:r>
        <w:rPr>
          <w:lang w:val="be-BY"/>
        </w:rPr>
        <w:t xml:space="preserve">» – организации, способствовавшей продаже картин. Можно также предположить, что Казимир создал в Крыму небольшую картинную галерею: в 1879 г. им были приобретены </w:t>
      </w:r>
      <w:r>
        <w:t>«Руины виллы Нерона» Адама Лещинского и «Порто д’</w:t>
      </w:r>
      <w:r>
        <w:rPr>
          <w:lang w:val="be-BY"/>
        </w:rPr>
        <w:t>Анц</w:t>
      </w:r>
      <w:r>
        <w:t xml:space="preserve">ио» Владимира Орловского (1842–1914) [13]. </w:t>
      </w:r>
    </w:p>
    <w:p w14:paraId="197E007C" w14:textId="77777777" w:rsidR="0067444A" w:rsidRDefault="0067444A" w:rsidP="0067444A">
      <w:pPr>
        <w:pStyle w:val="7"/>
        <w:rPr>
          <w:lang w:val="be-BY"/>
        </w:rPr>
      </w:pPr>
      <w:r>
        <w:rPr>
          <w:lang w:val="be-BY"/>
        </w:rPr>
        <w:t>По ряду причин очень мало известно о деятельности Казимира в сфере винокурения. Известно, что в 1882 г. он принял участие в Всероссийской художественно-промышленной выставке в Москве, где представлял свое токайское и красные вина и виноградную водку</w:t>
      </w:r>
      <w:r>
        <w:t xml:space="preserve"> [4]</w:t>
      </w:r>
      <w:r>
        <w:rPr>
          <w:lang w:val="be-BY"/>
        </w:rPr>
        <w:t xml:space="preserve">. </w:t>
      </w:r>
    </w:p>
    <w:p w14:paraId="11E5544A" w14:textId="77777777" w:rsidR="0067444A" w:rsidRDefault="0067444A" w:rsidP="0067444A">
      <w:pPr>
        <w:pStyle w:val="7"/>
        <w:rPr>
          <w:lang w:val="be-BY"/>
        </w:rPr>
      </w:pPr>
      <w:r>
        <w:rPr>
          <w:lang w:val="be-BY"/>
        </w:rPr>
        <w:t>Раз в два-три месяца Казимир выезжал в Москву с целью реализации части товара его «виноградных садов». Вино в Балаклаве продавалось по цене от 3 руб. 50 коп. до 14 руб. за ведро. При закупке оптом цена снижалась на 10 %. Вся вкупе винная продукция Скирмунтов продавалась в магазинах Харькова, Полтавы по цене 2 руб. 50 коп за бутылку</w:t>
      </w:r>
      <w:r>
        <w:t xml:space="preserve"> [9]</w:t>
      </w:r>
      <w:r>
        <w:rPr>
          <w:lang w:val="be-BY"/>
        </w:rPr>
        <w:t>.</w:t>
      </w:r>
    </w:p>
    <w:p w14:paraId="25DF5A0D"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Таким образом, Казимир активно и успешно продолжил дело отца. Но вскоре он решил попробовать себя в новом направлении как для Балаклавы, так и для польской шляхты – курортно-лечебном бизнесе</w:t>
      </w:r>
      <w:r>
        <w:rPr>
          <w:rFonts w:eastAsia="Times New Roman"/>
          <w:color w:val="231F20"/>
          <w:spacing w:val="-1"/>
          <w:shd w:val="clear" w:color="auto" w:fill="FFFFFF"/>
          <w:lang w:eastAsia="ru-RU"/>
        </w:rPr>
        <w:t xml:space="preserve"> [5]</w:t>
      </w:r>
      <w:r>
        <w:rPr>
          <w:rFonts w:eastAsia="Times New Roman"/>
          <w:color w:val="231F20"/>
          <w:spacing w:val="-1"/>
          <w:shd w:val="clear" w:color="auto" w:fill="FFFFFF"/>
          <w:lang w:val="be-BY" w:eastAsia="ru-RU"/>
        </w:rPr>
        <w:t xml:space="preserve">. </w:t>
      </w:r>
    </w:p>
    <w:p w14:paraId="048E5CEC"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Скорее всего, идея создания курорта для отдыха и лечения имела цель не только заработать денег. В 1870-х гг. обострились проблемы со здоровьем у Хелены Скирмунт. Вероятно, Казимир надеялся на целебные способности воздуха Балаклавы</w:t>
      </w:r>
      <w:r w:rsidRPr="0097408C">
        <w:rPr>
          <w:rFonts w:eastAsia="Times New Roman"/>
          <w:color w:val="231F20"/>
          <w:spacing w:val="-1"/>
          <w:shd w:val="clear" w:color="auto" w:fill="FFFFFF"/>
          <w:lang w:eastAsia="ru-RU"/>
        </w:rPr>
        <w:t xml:space="preserve"> [8]</w:t>
      </w:r>
      <w:r>
        <w:rPr>
          <w:rFonts w:eastAsia="Times New Roman"/>
          <w:color w:val="231F20"/>
          <w:spacing w:val="-1"/>
          <w:shd w:val="clear" w:color="auto" w:fill="FFFFFF"/>
          <w:lang w:val="be-BY" w:eastAsia="ru-RU"/>
        </w:rPr>
        <w:t>.</w:t>
      </w:r>
    </w:p>
    <w:p w14:paraId="648F860D"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lastRenderedPageBreak/>
        <w:t>Помимо этого, Казимир мог состоять в «Обществе по борьбе с туберкулезом», отдел которого имелся в Севастополе. Это мнение можно подкрепить фактами его членства в «Обществе спасении на водах», а также организации «</w:t>
      </w:r>
      <w:r>
        <w:rPr>
          <w:rFonts w:eastAsia="Times New Roman"/>
          <w:color w:val="231F20"/>
          <w:spacing w:val="-1"/>
          <w:shd w:val="clear" w:color="auto" w:fill="FFFFFF"/>
          <w:lang w:val="en-US" w:eastAsia="ru-RU"/>
        </w:rPr>
        <w:t>Pomoc</w:t>
      </w:r>
      <w:r>
        <w:rPr>
          <w:rFonts w:eastAsia="Times New Roman"/>
          <w:color w:val="231F20"/>
          <w:spacing w:val="-1"/>
          <w:shd w:val="clear" w:color="auto" w:fill="FFFFFF"/>
          <w:lang w:val="be-BY" w:eastAsia="ru-RU"/>
        </w:rPr>
        <w:t xml:space="preserve"> </w:t>
      </w:r>
      <w:r>
        <w:rPr>
          <w:rFonts w:eastAsia="Times New Roman"/>
          <w:color w:val="231F20"/>
          <w:spacing w:val="-1"/>
          <w:shd w:val="clear" w:color="auto" w:fill="FFFFFF"/>
          <w:lang w:val="en-US" w:eastAsia="ru-RU"/>
        </w:rPr>
        <w:t>Bratnia</w:t>
      </w:r>
      <w:r>
        <w:rPr>
          <w:rFonts w:eastAsia="Times New Roman"/>
          <w:color w:val="231F20"/>
          <w:spacing w:val="-1"/>
          <w:shd w:val="clear" w:color="auto" w:fill="FFFFFF"/>
          <w:lang w:val="be-BY" w:eastAsia="ru-RU"/>
        </w:rPr>
        <w:t>» [24].</w:t>
      </w:r>
    </w:p>
    <w:p w14:paraId="71168307"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В 1872 г. Казимир открыл в Балаклаве климатолечебный пансион. Довольно быстро пансион обрел большую популярность, и в 1879 г. были пристроены купальни</w:t>
      </w:r>
      <w:r>
        <w:rPr>
          <w:rFonts w:eastAsia="Times New Roman"/>
          <w:color w:val="231F20"/>
          <w:spacing w:val="-1"/>
          <w:shd w:val="clear" w:color="auto" w:fill="FFFFFF"/>
          <w:lang w:eastAsia="ru-RU"/>
        </w:rPr>
        <w:t xml:space="preserve"> [6]</w:t>
      </w:r>
      <w:r>
        <w:rPr>
          <w:rFonts w:eastAsia="Times New Roman"/>
          <w:color w:val="231F20"/>
          <w:spacing w:val="-1"/>
          <w:shd w:val="clear" w:color="auto" w:fill="FFFFFF"/>
          <w:lang w:val="be-BY" w:eastAsia="ru-RU"/>
        </w:rPr>
        <w:t>. Для наблюдения за климатом Казимиром была построена метеостанция на близлежащей горе. В эти же годы им была построена усадьба</w:t>
      </w:r>
      <w:r w:rsidRPr="0097408C">
        <w:rPr>
          <w:rFonts w:eastAsia="Times New Roman"/>
          <w:color w:val="231F20"/>
          <w:spacing w:val="-1"/>
          <w:shd w:val="clear" w:color="auto" w:fill="FFFFFF"/>
          <w:lang w:eastAsia="ru-RU"/>
        </w:rPr>
        <w:t xml:space="preserve"> [2]</w:t>
      </w:r>
      <w:r>
        <w:rPr>
          <w:rFonts w:eastAsia="Times New Roman"/>
          <w:color w:val="231F20"/>
          <w:spacing w:val="-1"/>
          <w:shd w:val="clear" w:color="auto" w:fill="FFFFFF"/>
          <w:lang w:val="be-BY" w:eastAsia="ru-RU"/>
        </w:rPr>
        <w:t>.</w:t>
      </w:r>
    </w:p>
    <w:p w14:paraId="07AD8960"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Плата за день с полным содержанием варьировалась от 2 руб. 50 коп. до 4 руб. На зимний сезон сдавались комнаты с обедом из четырех блюд, самоваром и прислугой за 50-70 руб. с человека. При пансионе работал нанятый врач Россоловский, который обнаружил залежи целебной грязи, действовала аптека. Желающие могли приобрести кумыс, кефир, молоко и лечебный виноград, арендовать лодку, читать бесплатные газеты и журналы</w:t>
      </w:r>
      <w:r>
        <w:rPr>
          <w:rFonts w:eastAsia="Times New Roman"/>
          <w:color w:val="231F20"/>
          <w:spacing w:val="-1"/>
          <w:shd w:val="clear" w:color="auto" w:fill="FFFFFF"/>
          <w:lang w:eastAsia="ru-RU"/>
        </w:rPr>
        <w:t xml:space="preserve"> [9]</w:t>
      </w:r>
      <w:r>
        <w:rPr>
          <w:rFonts w:eastAsia="Times New Roman"/>
          <w:color w:val="231F20"/>
          <w:spacing w:val="-1"/>
          <w:shd w:val="clear" w:color="auto" w:fill="FFFFFF"/>
          <w:lang w:val="be-BY" w:eastAsia="ru-RU"/>
        </w:rPr>
        <w:t xml:space="preserve">. </w:t>
      </w:r>
    </w:p>
    <w:p w14:paraId="277BD5A8"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Успех курорта был таким, что Казимир был вынужден полностью бросить винокуренное дело. Это в будущем повлияло на его материальное положение.</w:t>
      </w:r>
    </w:p>
    <w:p w14:paraId="54C06732"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Исследовав труды профессора А. А. Вериги (1837–1905) о целебных свойствах грязи Балаклавы, Казимир решил построить грязелечебницу. Для этого им был арендован грязевой бассейн и участок земли в бухте Балаклавы.</w:t>
      </w:r>
    </w:p>
    <w:p w14:paraId="7443C8D8"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15 апреля 1888 г. был утвержден «Устав Балаклавского грязелечебного заведения титулярного советника К. А. Скирмунта».</w:t>
      </w:r>
    </w:p>
    <w:p w14:paraId="677D04F2"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Изначально грязелечебница на 12 мест успешно функционировала на базе климатолечебницы, но со временем возникла проблема нехватки места. Поэтому Казимиром было спроектировано отдельное здание общей стоимостью в 40 тыс. руб. Проект сохранился в архиве Севастополя. Так, здание делилось на мужскую и женскую половины. В каждой были предусмотрены ванные комнаты и раздевалки. 9 ванн в каждой половине находились в отдельных комнатах, остальные – в общих. В подвале имелись помещения для паровых котлов и вентиляционных труб. Для подвоза грязи и рапы планировалось проложить узкоколейку и построить пристань.</w:t>
      </w:r>
    </w:p>
    <w:p w14:paraId="4233A922"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Казимир считал, что его «Дворец грязи» станет самым большим в Российской империи из зданий подобного профиля</w:t>
      </w:r>
      <w:r>
        <w:rPr>
          <w:rFonts w:eastAsia="Times New Roman"/>
          <w:color w:val="231F20"/>
          <w:spacing w:val="-1"/>
          <w:shd w:val="clear" w:color="auto" w:fill="FFFFFF"/>
          <w:lang w:eastAsia="ru-RU"/>
        </w:rPr>
        <w:t xml:space="preserve"> [</w:t>
      </w:r>
      <w:r w:rsidRPr="0097408C">
        <w:rPr>
          <w:rFonts w:eastAsia="Times New Roman"/>
          <w:color w:val="231F20"/>
          <w:spacing w:val="-1"/>
          <w:shd w:val="clear" w:color="auto" w:fill="FFFFFF"/>
          <w:lang w:eastAsia="ru-RU"/>
        </w:rPr>
        <w:t>5</w:t>
      </w:r>
      <w:r>
        <w:rPr>
          <w:rFonts w:eastAsia="Times New Roman"/>
          <w:color w:val="231F20"/>
          <w:spacing w:val="-1"/>
          <w:shd w:val="clear" w:color="auto" w:fill="FFFFFF"/>
          <w:lang w:eastAsia="ru-RU"/>
        </w:rPr>
        <w:t>]</w:t>
      </w:r>
      <w:r>
        <w:rPr>
          <w:rFonts w:eastAsia="Times New Roman"/>
          <w:color w:val="231F20"/>
          <w:spacing w:val="-1"/>
          <w:shd w:val="clear" w:color="auto" w:fill="FFFFFF"/>
          <w:lang w:val="be-BY" w:eastAsia="ru-RU"/>
        </w:rPr>
        <w:t>. Но постройка затянулась, и Казимир не дожил до ее завершения – в 1893 г. он умер. Климатолечебница была передана в аренду врачу Россоловскому, усадьба, вероятно, продана</w:t>
      </w:r>
      <w:r>
        <w:rPr>
          <w:rFonts w:eastAsia="Times New Roman"/>
          <w:color w:val="231F20"/>
          <w:spacing w:val="-1"/>
          <w:shd w:val="clear" w:color="auto" w:fill="FFFFFF"/>
          <w:lang w:eastAsia="ru-RU"/>
        </w:rPr>
        <w:t xml:space="preserve"> [9]</w:t>
      </w:r>
      <w:r>
        <w:rPr>
          <w:rFonts w:eastAsia="Times New Roman"/>
          <w:color w:val="231F20"/>
          <w:spacing w:val="-1"/>
          <w:shd w:val="clear" w:color="auto" w:fill="FFFFFF"/>
          <w:lang w:val="be-BY" w:eastAsia="ru-RU"/>
        </w:rPr>
        <w:t>.</w:t>
      </w:r>
    </w:p>
    <w:p w14:paraId="52EC426F" w14:textId="77777777" w:rsidR="0067444A" w:rsidRDefault="0067444A" w:rsidP="0067444A">
      <w:pPr>
        <w:pStyle w:val="7"/>
        <w:rPr>
          <w:rFonts w:eastAsia="Times New Roman"/>
          <w:color w:val="231F20"/>
          <w:spacing w:val="-1"/>
          <w:shd w:val="clear" w:color="auto" w:fill="FFFFFF"/>
          <w:lang w:val="be-BY" w:eastAsia="ru-RU"/>
        </w:rPr>
      </w:pPr>
      <w:r>
        <w:rPr>
          <w:rFonts w:eastAsia="Times New Roman"/>
          <w:color w:val="231F20"/>
          <w:spacing w:val="-1"/>
          <w:shd w:val="clear" w:color="auto" w:fill="FFFFFF"/>
          <w:lang w:val="be-BY" w:eastAsia="ru-RU"/>
        </w:rPr>
        <w:t xml:space="preserve">Таким образом, во время нахождения в Крыму Казимир внес большой вклад в его развитие. В особенности отмечен его климатолечебный пансион – популярность заведения положительно повлияла на развитие Балаклавы </w:t>
      </w:r>
      <w:r>
        <w:rPr>
          <w:rFonts w:eastAsia="Times New Roman"/>
          <w:color w:val="231F20"/>
          <w:spacing w:val="-1"/>
          <w:shd w:val="clear" w:color="auto" w:fill="FFFFFF"/>
          <w:lang w:val="be-BY" w:eastAsia="ru-RU"/>
        </w:rPr>
        <w:lastRenderedPageBreak/>
        <w:t xml:space="preserve">как центра оздоровительного туризма. Помимо этого, Казимир был инноватором, производя токайское вино и используя грязь в целях лечения. </w:t>
      </w:r>
    </w:p>
    <w:p w14:paraId="06528781" w14:textId="77777777" w:rsidR="0067444A" w:rsidRDefault="0067444A" w:rsidP="0067444A">
      <w:pPr>
        <w:pStyle w:val="7"/>
        <w:rPr>
          <w:rFonts w:eastAsia="Times New Roman"/>
          <w:color w:val="231F20"/>
          <w:spacing w:val="-1"/>
          <w:shd w:val="clear" w:color="auto" w:fill="FFFFFF"/>
          <w:lang w:val="be-BY" w:eastAsia="ru-RU"/>
        </w:rPr>
      </w:pPr>
    </w:p>
    <w:p w14:paraId="27250794" w14:textId="77777777" w:rsidR="0067444A" w:rsidRDefault="0067444A" w:rsidP="0067444A">
      <w:pPr>
        <w:pStyle w:val="7"/>
        <w:rPr>
          <w:rFonts w:eastAsia="Times New Roman"/>
          <w:color w:val="231F20"/>
          <w:spacing w:val="-1"/>
          <w:shd w:val="clear" w:color="auto" w:fill="FFFFFF"/>
          <w:lang w:val="be-BY" w:eastAsia="ru-RU"/>
        </w:rPr>
      </w:pPr>
    </w:p>
    <w:p w14:paraId="1E229BA3" w14:textId="77777777" w:rsidR="0067444A" w:rsidRPr="0067444A" w:rsidRDefault="0067444A" w:rsidP="006F6A4F">
      <w:pPr>
        <w:pStyle w:val="8"/>
        <w:numPr>
          <w:ilvl w:val="0"/>
          <w:numId w:val="25"/>
        </w:numPr>
        <w:ind w:left="0" w:firstLine="709"/>
      </w:pPr>
      <w:r w:rsidRPr="0067444A">
        <w:t>Григорьев, В. В. Императорский С.-Петербургский университет в течении первых пятидесяти лет его существования: историческая записка / В. В. Григорьев. – С-Птб., 1870. – 676 с.</w:t>
      </w:r>
    </w:p>
    <w:p w14:paraId="30B96F64" w14:textId="06E3F226" w:rsidR="0067444A" w:rsidRPr="0067444A" w:rsidRDefault="0067444A" w:rsidP="0067444A">
      <w:pPr>
        <w:pStyle w:val="8"/>
      </w:pPr>
      <w:r w:rsidRPr="0067444A">
        <w:t>Деревянные окна, часовня без имени и старинные особняки Севастополя [Электронный ресурс]. – 2021. – Режим доступа: https://www.sevastopol.kp.ru/daily/28335.5/4480620/. – Дата доступа: 06.04.2024.</w:t>
      </w:r>
    </w:p>
    <w:p w14:paraId="54F32B7D" w14:textId="77777777" w:rsidR="0067444A" w:rsidRPr="0067444A" w:rsidRDefault="0067444A" w:rsidP="0067444A">
      <w:pPr>
        <w:pStyle w:val="8"/>
      </w:pPr>
      <w:r w:rsidRPr="0067444A">
        <w:t>Залескі, Б. З жыцця літвінкі: з лістоў і нататак. 1823–1874 / Б. Залескі. – Мінск : Выд. В. Хурсік, 2009. – 340 с.</w:t>
      </w:r>
    </w:p>
    <w:p w14:paraId="0FD84449" w14:textId="77777777" w:rsidR="0067444A" w:rsidRPr="0067444A" w:rsidRDefault="0067444A" w:rsidP="0067444A">
      <w:pPr>
        <w:pStyle w:val="8"/>
      </w:pPr>
      <w:r w:rsidRPr="0067444A">
        <w:t>Иллюстрированное описание Всероссийской художественно-промышленной выставки в Москве 1882 года. Издание Германа Гоппе. – С.-Петербург, 1882. – С. 270.</w:t>
      </w:r>
    </w:p>
    <w:p w14:paraId="76C0713E" w14:textId="77777777" w:rsidR="0067444A" w:rsidRPr="0067444A" w:rsidRDefault="0067444A" w:rsidP="0067444A">
      <w:pPr>
        <w:pStyle w:val="8"/>
      </w:pPr>
      <w:r w:rsidRPr="0067444A">
        <w:rPr>
          <w:spacing w:val="2"/>
          <w:shd w:val="clear" w:color="auto" w:fill="FFFFFF"/>
        </w:rPr>
        <w:t>Мокиевец, А. С. Скирмунты молодовские: XIX – начало XX века / А. С. Мокиевец ; науч. рук. С. В. Морозова // Наука – 2023 : сборник научных статей / Учреждение образования «Гродненский государственный университет имени Янки Купалы» ; гл. ред. А. Ф. Проневич ; зам. гл. ред. А. С. Горный ; редкол.: Т. Г. Барановская [и др.]. – Гродно : ГрГУ им. Янки Купалы, 2023. – С. 82-84.</w:t>
      </w:r>
    </w:p>
    <w:p w14:paraId="4FC557BA" w14:textId="77777777" w:rsidR="0067444A" w:rsidRPr="0067444A" w:rsidRDefault="0067444A" w:rsidP="0067444A">
      <w:pPr>
        <w:pStyle w:val="8"/>
      </w:pPr>
      <w:r w:rsidRPr="0067444A">
        <w:t>Носкова, И. А. Черное золото Крыма: очерки по истории грязелечения / И. А. Носкова. – Симферополь : Салта ЛТД, 2020. – С. 135.</w:t>
      </w:r>
    </w:p>
    <w:p w14:paraId="60C34C51" w14:textId="70C1AFF9" w:rsidR="0067444A" w:rsidRPr="0067444A" w:rsidRDefault="0067444A" w:rsidP="0067444A">
      <w:pPr>
        <w:pStyle w:val="8"/>
      </w:pPr>
      <w:r w:rsidRPr="0067444A">
        <w:t>Несостоявшийся проект «Дворца грязи» в Балаклаве [Электронный ресурс]. – 2021. – Режим доступа: https://vk.com/wall-28965738_2864. – Дата доступа: 06.04.2024.</w:t>
      </w:r>
    </w:p>
    <w:p w14:paraId="3F539FC9" w14:textId="77777777" w:rsidR="0067444A" w:rsidRPr="0067444A" w:rsidRDefault="0067444A" w:rsidP="0067444A">
      <w:pPr>
        <w:pStyle w:val="8"/>
      </w:pPr>
      <w:r w:rsidRPr="0067444A">
        <w:t>Прокопенков, В. Н. Севастополь. Газетные хроники. 1882–1917: сборник материалов // В. Н. Прокопенков. – Салта, 2014. – 626 с.</w:t>
      </w:r>
    </w:p>
    <w:p w14:paraId="0625AC21" w14:textId="77777777" w:rsidR="0067444A" w:rsidRPr="0067444A" w:rsidRDefault="0067444A" w:rsidP="0067444A">
      <w:pPr>
        <w:pStyle w:val="8"/>
      </w:pPr>
      <w:r w:rsidRPr="0067444A">
        <w:t>«Путеводитель по старой Балаклаве». Иллюстрированный путеводитель. – 2022. – 304 с.</w:t>
      </w:r>
    </w:p>
    <w:p w14:paraId="6E4913C0" w14:textId="77777777" w:rsidR="0067444A" w:rsidRPr="0067444A" w:rsidRDefault="0067444A" w:rsidP="0067444A">
      <w:pPr>
        <w:pStyle w:val="8"/>
      </w:pPr>
      <w:r w:rsidRPr="0067444A">
        <w:t>Смалянчук, А. Ф. Раман Скірмунт (1868–1939): жыццяпіс грамадзяніна Краю / А. Ф. Смалянчук. – Мінск : Выд. З. Колас, 2018. – 696 с.</w:t>
      </w:r>
    </w:p>
    <w:p w14:paraId="04879B93" w14:textId="77777777" w:rsidR="0067444A" w:rsidRPr="0067444A" w:rsidRDefault="0067444A" w:rsidP="0067444A">
      <w:pPr>
        <w:pStyle w:val="8"/>
      </w:pPr>
      <w:r w:rsidRPr="0067444A">
        <w:t>I Sprawozdanie Roczne Towarzystwa Uczącej się Młodzieży Polskiej „Pomoc Bratnia” w Zakopanem. – Закопане, 1900. – С. 20.</w:t>
      </w:r>
    </w:p>
    <w:p w14:paraId="6167FC64" w14:textId="77777777" w:rsidR="0067444A" w:rsidRPr="0067444A" w:rsidRDefault="0067444A" w:rsidP="0067444A">
      <w:pPr>
        <w:pStyle w:val="8"/>
      </w:pPr>
      <w:r w:rsidRPr="0067444A">
        <w:rPr>
          <w:lang w:val="en-US"/>
        </w:rPr>
        <w:t xml:space="preserve">Rehmann, </w:t>
      </w:r>
      <w:r w:rsidRPr="0067444A">
        <w:t>А</w:t>
      </w:r>
      <w:r w:rsidRPr="0067444A">
        <w:rPr>
          <w:lang w:val="en-US"/>
        </w:rPr>
        <w:t xml:space="preserve">. Correspondenz / </w:t>
      </w:r>
      <w:r w:rsidRPr="0067444A">
        <w:t>А. </w:t>
      </w:r>
      <w:r w:rsidRPr="0067444A">
        <w:rPr>
          <w:lang w:val="en-US"/>
        </w:rPr>
        <w:t>Rehmann</w:t>
      </w:r>
      <w:r w:rsidRPr="0067444A">
        <w:t xml:space="preserve"> // </w:t>
      </w:r>
      <w:r w:rsidRPr="0067444A">
        <w:rPr>
          <w:lang w:val="en-US"/>
        </w:rPr>
        <w:t xml:space="preserve">Osterreichische Botanische Zeitschrift. – </w:t>
      </w:r>
      <w:r w:rsidRPr="0067444A">
        <w:t>Wien</w:t>
      </w:r>
      <w:r w:rsidRPr="0067444A">
        <w:rPr>
          <w:lang w:val="en-US"/>
        </w:rPr>
        <w:t>, 1875. – S. 35–36</w:t>
      </w:r>
      <w:r w:rsidRPr="0067444A">
        <w:t>.</w:t>
      </w:r>
    </w:p>
    <w:p w14:paraId="6D4A65B0" w14:textId="77777777" w:rsidR="0067444A" w:rsidRPr="0067444A" w:rsidRDefault="0067444A" w:rsidP="0067444A">
      <w:pPr>
        <w:pStyle w:val="8"/>
      </w:pPr>
      <w:r w:rsidRPr="0067444A">
        <w:rPr>
          <w:lang w:val="en-US"/>
        </w:rPr>
        <w:t>Losowanie</w:t>
      </w:r>
      <w:r w:rsidRPr="0067444A">
        <w:t xml:space="preserve"> </w:t>
      </w:r>
      <w:r w:rsidRPr="0067444A">
        <w:rPr>
          <w:lang w:val="en-US"/>
        </w:rPr>
        <w:t>obrazow</w:t>
      </w:r>
      <w:r w:rsidRPr="0067444A">
        <w:t xml:space="preserve"> </w:t>
      </w:r>
      <w:r w:rsidRPr="0067444A">
        <w:rPr>
          <w:lang w:val="en-US"/>
        </w:rPr>
        <w:t>w</w:t>
      </w:r>
      <w:r w:rsidRPr="0067444A">
        <w:t xml:space="preserve"> </w:t>
      </w:r>
      <w:r w:rsidRPr="0067444A">
        <w:rPr>
          <w:lang w:val="en-US"/>
        </w:rPr>
        <w:t>Towarzystwie</w:t>
      </w:r>
      <w:r w:rsidRPr="0067444A">
        <w:t xml:space="preserve"> </w:t>
      </w:r>
      <w:r w:rsidRPr="0067444A">
        <w:rPr>
          <w:lang w:val="en-US"/>
        </w:rPr>
        <w:t>zachety</w:t>
      </w:r>
      <w:r w:rsidRPr="0067444A">
        <w:t xml:space="preserve"> </w:t>
      </w:r>
      <w:r w:rsidRPr="0067444A">
        <w:rPr>
          <w:lang w:val="en-US"/>
        </w:rPr>
        <w:t>sztuk</w:t>
      </w:r>
      <w:r w:rsidRPr="0067444A">
        <w:t xml:space="preserve"> </w:t>
      </w:r>
      <w:r w:rsidRPr="0067444A">
        <w:rPr>
          <w:lang w:val="en-US"/>
        </w:rPr>
        <w:t>pieknich</w:t>
      </w:r>
      <w:r w:rsidRPr="0067444A">
        <w:t>//</w:t>
      </w:r>
      <w:r w:rsidRPr="0067444A">
        <w:rPr>
          <w:lang w:val="en-US"/>
        </w:rPr>
        <w:t>Kurjer</w:t>
      </w:r>
      <w:r w:rsidRPr="0067444A">
        <w:t xml:space="preserve"> </w:t>
      </w:r>
      <w:r w:rsidRPr="0067444A">
        <w:rPr>
          <w:lang w:val="en-US"/>
        </w:rPr>
        <w:t>Warszawski</w:t>
      </w:r>
      <w:r w:rsidRPr="0067444A">
        <w:t>. – 1879. – 30 декабря. – С. 8.</w:t>
      </w:r>
    </w:p>
    <w:p w14:paraId="5A93D974" w14:textId="77777777" w:rsidR="0067444A" w:rsidRPr="0097408C" w:rsidRDefault="0067444A" w:rsidP="00093C1D">
      <w:pPr>
        <w:pStyle w:val="12"/>
      </w:pPr>
    </w:p>
    <w:p w14:paraId="40E5A925" w14:textId="77777777" w:rsidR="005B6346" w:rsidRPr="009D63FE" w:rsidRDefault="000C69B3" w:rsidP="005B6346">
      <w:pPr>
        <w:pStyle w:val="Standard"/>
        <w:jc w:val="center"/>
        <w:rPr>
          <w:i/>
          <w:lang w:val="be-BY"/>
        </w:rPr>
      </w:pPr>
      <w:hyperlink w:anchor="_СОДЕРЖАНИЕ" w:history="1">
        <w:r w:rsidR="005B6346" w:rsidRPr="009D63FE">
          <w:rPr>
            <w:rStyle w:val="a9"/>
            <w:rFonts w:ascii="Times New Roman" w:hAnsi="Times New Roman" w:cs="Times New Roman"/>
            <w:i/>
            <w:color w:val="auto"/>
            <w:sz w:val="28"/>
            <w:szCs w:val="28"/>
            <w:u w:val="none"/>
            <w:lang w:val="be-BY"/>
          </w:rPr>
          <w:t>К содержанию</w:t>
        </w:r>
      </w:hyperlink>
    </w:p>
    <w:p w14:paraId="4596C782" w14:textId="77777777" w:rsidR="005B6346" w:rsidRDefault="005B6346" w:rsidP="005B6346">
      <w:pPr>
        <w:spacing w:after="0" w:line="240" w:lineRule="auto"/>
        <w:jc w:val="both"/>
        <w:rPr>
          <w:rFonts w:ascii="Times New Roman" w:hAnsi="Times New Roman" w:cs="Times New Roman"/>
          <w:bCs/>
          <w:sz w:val="28"/>
          <w:szCs w:val="28"/>
          <w:lang w:val="be-BY"/>
        </w:rPr>
      </w:pPr>
    </w:p>
    <w:p w14:paraId="750A3026" w14:textId="77777777" w:rsidR="0067444A" w:rsidRDefault="0067444A" w:rsidP="00093C1D">
      <w:pPr>
        <w:pStyle w:val="12"/>
        <w:rPr>
          <w:lang w:val="ru-RU"/>
        </w:rPr>
      </w:pPr>
    </w:p>
    <w:p w14:paraId="71CD54E6" w14:textId="77777777" w:rsidR="0067444A" w:rsidRDefault="0067444A" w:rsidP="00093C1D">
      <w:pPr>
        <w:pStyle w:val="12"/>
        <w:rPr>
          <w:lang w:val="ru-RU"/>
        </w:rPr>
      </w:pPr>
    </w:p>
    <w:p w14:paraId="375AB6EA" w14:textId="77777777" w:rsidR="002E4BD4" w:rsidRDefault="002E4BD4" w:rsidP="00093C1D">
      <w:pPr>
        <w:pStyle w:val="12"/>
        <w:rPr>
          <w:lang w:val="ru-RU"/>
        </w:rPr>
      </w:pPr>
    </w:p>
    <w:p w14:paraId="2E2803D4" w14:textId="77777777" w:rsidR="002E4BD4" w:rsidRDefault="002E4BD4" w:rsidP="00093C1D">
      <w:pPr>
        <w:pStyle w:val="12"/>
        <w:rPr>
          <w:lang w:val="ru-RU"/>
        </w:rPr>
      </w:pPr>
    </w:p>
    <w:p w14:paraId="5027A72B" w14:textId="77777777" w:rsidR="002E4BD4" w:rsidRDefault="002E4BD4" w:rsidP="00093C1D">
      <w:pPr>
        <w:pStyle w:val="12"/>
        <w:rPr>
          <w:lang w:val="ru-RU"/>
        </w:rPr>
      </w:pPr>
    </w:p>
    <w:p w14:paraId="1C44FD95" w14:textId="77777777" w:rsidR="002E4BD4" w:rsidRDefault="002E4BD4" w:rsidP="00093C1D">
      <w:pPr>
        <w:pStyle w:val="12"/>
        <w:rPr>
          <w:lang w:val="ru-RU"/>
        </w:rPr>
      </w:pPr>
    </w:p>
    <w:p w14:paraId="0D08D3FD" w14:textId="301B3974" w:rsidR="0067444A" w:rsidRDefault="0067444A" w:rsidP="0067444A">
      <w:pPr>
        <w:pStyle w:val="12"/>
      </w:pPr>
      <w:r>
        <w:lastRenderedPageBreak/>
        <w:t>УДК 329.15(476):329.8</w:t>
      </w:r>
    </w:p>
    <w:p w14:paraId="06BCA586" w14:textId="2F145084" w:rsidR="0067444A" w:rsidRDefault="0089679D" w:rsidP="0067444A">
      <w:pPr>
        <w:pStyle w:val="14"/>
      </w:pPr>
      <w:bookmarkStart w:id="87" w:name="_Toc181884613"/>
      <w:bookmarkStart w:id="88" w:name="_Toc181894105"/>
      <w:r>
        <w:t>Д.А. КОРУНЕЦ</w:t>
      </w:r>
      <w:bookmarkEnd w:id="87"/>
      <w:bookmarkEnd w:id="88"/>
    </w:p>
    <w:p w14:paraId="26B93DF2" w14:textId="702F4BA1" w:rsidR="0067444A" w:rsidRPr="0067444A" w:rsidRDefault="0067444A" w:rsidP="0067444A">
      <w:pPr>
        <w:pStyle w:val="3"/>
      </w:pPr>
      <w:r w:rsidRPr="0067444A">
        <w:rPr>
          <w:bCs/>
        </w:rPr>
        <w:t xml:space="preserve">Брест, </w:t>
      </w:r>
      <w:r w:rsidRPr="0067444A">
        <w:t>БрГУ имени А.С. Пушкина</w:t>
      </w:r>
    </w:p>
    <w:p w14:paraId="2B8A26C3" w14:textId="4CB00B11" w:rsidR="0067444A" w:rsidRDefault="0067444A" w:rsidP="0067444A">
      <w:pPr>
        <w:pStyle w:val="4"/>
      </w:pPr>
      <w:r>
        <w:t xml:space="preserve">Научный руководитель: Е.И. Пашкович, </w:t>
      </w:r>
      <w:r>
        <w:rPr>
          <w:lang w:val="ru-RU"/>
        </w:rPr>
        <w:t>к.и.н.</w:t>
      </w:r>
      <w:r>
        <w:t>, доцент</w:t>
      </w:r>
    </w:p>
    <w:p w14:paraId="6DFDC301" w14:textId="77777777" w:rsidR="0067444A" w:rsidRDefault="0067444A" w:rsidP="0067444A">
      <w:pPr>
        <w:pStyle w:val="7"/>
      </w:pPr>
    </w:p>
    <w:p w14:paraId="3B2EF819" w14:textId="024AB827" w:rsidR="0067444A" w:rsidRDefault="0067444A" w:rsidP="0067444A">
      <w:pPr>
        <w:pStyle w:val="5"/>
      </w:pPr>
      <w:r>
        <w:t xml:space="preserve">ОРГАНИЗАЦИОННАЯ СТРУКТУРА КПЗБ В 1923–1938 </w:t>
      </w:r>
      <w:r>
        <w:rPr>
          <w:caps w:val="0"/>
        </w:rPr>
        <w:t>гг.</w:t>
      </w:r>
    </w:p>
    <w:p w14:paraId="13F09EF1" w14:textId="77777777" w:rsidR="0067444A" w:rsidRDefault="0067444A" w:rsidP="0067444A">
      <w:pPr>
        <w:pStyle w:val="7"/>
      </w:pPr>
    </w:p>
    <w:p w14:paraId="110E3E73" w14:textId="77777777" w:rsidR="0067444A" w:rsidRDefault="0067444A" w:rsidP="0067444A">
      <w:pPr>
        <w:pStyle w:val="6"/>
      </w:pPr>
      <w:r>
        <w:t>В данной статье рассматривается организационная структура КПЗБ в 1923 – 1938 годах. Автор выделяет ключевые структурные единицы КПЗБ (партячейки, районные, городские, окружные комитеты, секретариат и отделы ЦК), после чего анализирует их функциональные обязанности внутри структуры партии, а также их количественный состав, после чего делает вывод о вероятных причинах такого развития и особенностей структуры данной организации.</w:t>
      </w:r>
    </w:p>
    <w:p w14:paraId="6A7E6C69" w14:textId="77777777" w:rsidR="0067444A" w:rsidRDefault="0067444A" w:rsidP="0067444A">
      <w:pPr>
        <w:pStyle w:val="7"/>
      </w:pPr>
    </w:p>
    <w:p w14:paraId="0F11DF8D" w14:textId="77777777" w:rsidR="0067444A" w:rsidRDefault="0067444A" w:rsidP="0067444A">
      <w:pPr>
        <w:pStyle w:val="7"/>
      </w:pPr>
      <w:r>
        <w:t>Одной из особенностей нахождения Западной Беларуси в составе Польши в межвоенный период является деятельность на её территории подпольной организации – Коммунистической партии Западной Беларуси, которая стала фактически главным актором национально-освободительной борьбы на территории края, занимаясь как пропагандистской, деятельностью, так и организацией забастовок, выступлений, бойкотов. Важную роль играло и печатное слово партий. «ЦК КПЗБ выдавал на белорусском языке газеты «Красное знамя», «Партработник», журнал «Большевик» и др. На польском языке выходили «Kujmy bron» («Куйте оружие»), «Do wa</w:t>
      </w:r>
      <w:r>
        <w:rPr>
          <w:lang w:val="en-US"/>
        </w:rPr>
        <w:t>g</w:t>
      </w:r>
      <w:r>
        <w:t>ki» («До борьбы»), на еврейской «Ройтэ фон» и др. Много печаталось листовок, обращений, брошюр» [1, c. 382]. При этом, логичным является то, что подобная активная деятельность не могла проводится группой несвязанных между собой идейных активистов, или же разрозненными кружками коммунистической направленности. Нужна была единая и разветвленная организационная структура, изучение которой и будет проведено в рамках данной работы.</w:t>
      </w:r>
    </w:p>
    <w:p w14:paraId="3BB9CAD0" w14:textId="77777777" w:rsidR="0067444A" w:rsidRDefault="0067444A" w:rsidP="0067444A">
      <w:pPr>
        <w:pStyle w:val="7"/>
      </w:pPr>
      <w:r>
        <w:t xml:space="preserve">Прежде всего, необходимо отметить, что КПЗБ не возникла на пустом месте и не стала первым прокоммунистическим объединением на территории Западной Беларуси. Еще до образования КПЗБ, в регионе действовали представители КПБ(б), поддерживаемые с территории БССР, а также ячейки Коммунистической рабочей партии Польши и Коммунистической партии Литвы. При этом, доминирующей в Западной Беларуси стала КРПП, которая организовала к 1923 «три партийных округа: Белостокский, Брестский и Виленский. Делегаты этих округов принимали участие в работе II съезда КРПП» [2, c. 35]. </w:t>
      </w:r>
    </w:p>
    <w:p w14:paraId="61A655F1" w14:textId="77777777" w:rsidR="0067444A" w:rsidRDefault="0067444A" w:rsidP="0067444A">
      <w:pPr>
        <w:pStyle w:val="7"/>
      </w:pPr>
      <w:r>
        <w:t xml:space="preserve">Несмотря на то, что данная информация не относится непосредственно к структуре КПЗБ, она позволяет раскрыть, во-первых, тот фундамент, на котором будет построена данная организация, а также </w:t>
      </w:r>
      <w:r>
        <w:lastRenderedPageBreak/>
        <w:t xml:space="preserve">показывает, что она с самого начала была тесно связана с деятельностью других коммунистических организаций и движений. </w:t>
      </w:r>
    </w:p>
    <w:p w14:paraId="453BEA39" w14:textId="77777777" w:rsidR="0067444A" w:rsidRDefault="0067444A" w:rsidP="0067444A">
      <w:pPr>
        <w:pStyle w:val="7"/>
      </w:pPr>
      <w:r>
        <w:t xml:space="preserve">Что касается самой КПЗБ, то её история как общественно-политической подпольной организации начинается «В октябре 1923 г. ЦК КРПП созвал в Вильно нелегально конференцию представителей трехпартийных округов Западной Белоруссии (присутствовало 9 человек). На конференции было принято решение о создании Коммунистической партии Западной Белоруссии и избран ЦК КПЗБ. Это была первая учредительная конференция КПЗБ» [2, c. 35]. </w:t>
      </w:r>
    </w:p>
    <w:p w14:paraId="26956739" w14:textId="77777777" w:rsidR="0067444A" w:rsidRDefault="0067444A" w:rsidP="0067444A">
      <w:pPr>
        <w:pStyle w:val="7"/>
      </w:pPr>
      <w:r>
        <w:t>Как мы видим, первоначально актив КПЗБ базировался на базе тех партийных округов, которые были созданы коммунистической партией Польши, из чего, в том числе, делают справедливый вывод, что КПЗБ как организация являлась как минимум аффилированной с КРПП, а как максимум, являлась её составной частью. Это, впрочем, не является однозначно негативным фактором, поскольку помимо контроля из Варшавы, новосозданная подпольная организация получила специалистов, опыт и организационную помощь более крупного объединения.</w:t>
      </w:r>
    </w:p>
    <w:p w14:paraId="4CA5B95E" w14:textId="77777777" w:rsidR="0067444A" w:rsidRDefault="0067444A" w:rsidP="0067444A">
      <w:pPr>
        <w:pStyle w:val="7"/>
      </w:pPr>
      <w:r>
        <w:t>Достаточно быстро была установлена структура новой партии, во-многом скопированная с других коммунистических организаций того периода, что является логичным, учитывая схожий характер их деятельности. Тем не менее, имелись и свои особенности, связанные, прежде всего, со спецификой деятельности партии в сложившихся условиях.</w:t>
      </w:r>
    </w:p>
    <w:p w14:paraId="0CC525D1" w14:textId="77777777" w:rsidR="0067444A" w:rsidRDefault="0067444A" w:rsidP="0067444A">
      <w:pPr>
        <w:pStyle w:val="7"/>
      </w:pPr>
      <w:r>
        <w:t xml:space="preserve">Сама же структура КПЗБ, а также распределение обязанностей её составными элементами были следующими. Первичными партийными организациями, занимавшимися как непосредственной организацией и проведением пропагандистской деятельности, так и подготовкой новых кадров являлись кружки на предприятиях, в организациях (например, профсоюзах), а также в сельской местности. Впоследствии, данные кружки будут реорганизованы в партийные ячейки, задачей которых стало создание беспартийного актива, работа с активистами среди рабочего и крестьянского населения, организация деятельности массовых организаций, распространение литературы. Что касается численного состава и организационных мероприятий, то «партийные ячейки обычно состояли из 3-7 человек. Один раз в неделю проводились партийные собрания … В ячейках выделялись ответственные за работу в профсоюзе, распространение литературы и т. д.»  [3, c. 24-25]. </w:t>
      </w:r>
    </w:p>
    <w:p w14:paraId="02486E2A" w14:textId="77777777" w:rsidR="0067444A" w:rsidRDefault="0067444A" w:rsidP="0067444A">
      <w:pPr>
        <w:pStyle w:val="7"/>
      </w:pPr>
      <w:r>
        <w:t xml:space="preserve">Таким образом, непосредственная политическая работа с населением, а также массовыми общественными организациями проводилась в рамках низовых органов партии – партийных ячейках. При этом, данная работа заключалась не только в пропаганде среди населения, но и наборе активной </w:t>
      </w:r>
      <w:r>
        <w:lastRenderedPageBreak/>
        <w:t>группы «сочувствующих» граждан, а также пополнении рядов партии новыми членами. При этом, данные ячейки были достаточно малочисленны по своему составу, что объясняется прежде всего их незаконным и подпольными статусом и необходимостью соблюдения конспирации.</w:t>
      </w:r>
    </w:p>
    <w:p w14:paraId="2FB6ED51" w14:textId="77777777" w:rsidR="0067444A" w:rsidRDefault="0067444A" w:rsidP="0067444A">
      <w:pPr>
        <w:pStyle w:val="7"/>
      </w:pPr>
      <w:r>
        <w:t>Что касается следующей ступени структуры КПЗБ, то она представляла собой районные и городские комитеты, в сельской местности и городах соответственно. Основной задачей горкомов и райкомов партии было непосредственное руководство партячейками, которое осуществлялось «через отдельных его членов, которые устно инструктировали секретарей, ячеек и передавали им решения райкома, периодически созывали их на совещания и сами должны были не реже 1 раза в 2 месяца присутствовать на заседаниях ячеек» [3, c. 25]. Таким образом, если партячейки были непосредственными исполнителями на местах, то райкомы были координаторами, основной задачей которых было направление деятельности низовых организаций в нужное русло. Место райкомов в городах соответственно занимал горком, который выполнял те же функции. Помимо этого, городские и районные комитеты партии также отвечали за политическую работу в профсоюзной среде, органах местного самоуправления, а также вели работу с коммунистическим союзом молодёжи. Что касается численного состава этих структурных единиц, то «в горком обычно избирались 5 человек … В райком входило 5-7 коммунистов из наиболее важных центров района и крупных ячеек. Он охватывал обычно 3-5 гмин (волостей)» [3, c. 25].</w:t>
      </w:r>
    </w:p>
    <w:p w14:paraId="17BB0EC7" w14:textId="77777777" w:rsidR="0067444A" w:rsidRDefault="0067444A" w:rsidP="0067444A">
      <w:pPr>
        <w:pStyle w:val="7"/>
      </w:pPr>
      <w:r>
        <w:t>Таким образом, непосредственное руководство партийными ячейками осуществлялось через районные и городские комитеты, которые обычно охватывали несколько административно-территориальных единиц. Более того, горкомы и райкомы также занимались политической работой в органах более высокой инстанции, например, местного самоуправления, а также именно они осуществляли связь с параллельным КПЗБ коммунистическим союзом молодёжи Западной Беларуси. Численный состав этих организационных единиц также был немногочисленным, что объясняется ровно теми же требованиями конспирации.</w:t>
      </w:r>
    </w:p>
    <w:p w14:paraId="7E32A44F" w14:textId="77777777" w:rsidR="0067444A" w:rsidRDefault="0067444A" w:rsidP="0067444A">
      <w:pPr>
        <w:pStyle w:val="7"/>
      </w:pPr>
      <w:r>
        <w:t xml:space="preserve">Следующей структурной единицей КПЗБ были так называемые окружные комитеты. Помимо основной задачи, которая состояла в направлении деятельности райкомов и горкомов, также выполняли следующую задачу: «окружные отделы руководили партийной работой в тюрьмах, поддерживали связи с тюремными комитетами» [3, c. 26]. Примерами подобного взаимодействия является деятельность известного деятеля белорусского национального движения Бронислава Тарашкевича, а именно тот факт, что «несмотря на строгую изоляцию послов (Тарашкевич постоянно сидел в одиночной камере), ЦК КПЗБ быстро установил с ними </w:t>
      </w:r>
      <w:r>
        <w:lastRenderedPageBreak/>
        <w:t xml:space="preserve">связь» [4, c. 82]. Этот факт говорит прежде всего о том, что распространение КПЗБ в различных местах, организациях и слоях населения Западной Беларуси было достаточно значительно, что позволяло им проникать в достаточно защищенные места, специально предназначенные для того, чтобы изолировать опасных для польского государства людей.  Что касается численного состава, то, согласно имеющимся данным, «окружные комитеты партии состояли из 5-7 человек» [3, c. 26]. </w:t>
      </w:r>
    </w:p>
    <w:p w14:paraId="77D6577E" w14:textId="77777777" w:rsidR="0067444A" w:rsidRDefault="0067444A" w:rsidP="0067444A">
      <w:pPr>
        <w:pStyle w:val="7"/>
      </w:pPr>
      <w:r>
        <w:t>Соответственно, окружные комитеты партии также являются важной частью в цепи командования КПЗБ. При этом, они также выполняли и уникальную роль – поддерживали связь с уже арестованными представителями коммунистического движения в тюрьмах. Данный факт уже говорит о том, что агенты коммунистической партии смогли проникнуть даже в такие, казалось бы, особо охраняемые места. В тоже время, меры конспирации всё так же влияли на численность окружных комитетов, что логично, учитывая то, что с ростом по иерархической ступени партии, член КПЗБ становился всё более лакомой целью для правоохранительных органов и разведки Польши.</w:t>
      </w:r>
    </w:p>
    <w:p w14:paraId="74E77315" w14:textId="77777777" w:rsidR="0067444A" w:rsidRDefault="0067444A" w:rsidP="0067444A">
      <w:pPr>
        <w:pStyle w:val="7"/>
      </w:pPr>
      <w:r>
        <w:t xml:space="preserve">Следующей, и самой важной в иерархической структуре партии единицей, является её центральный комитет, а также связанные с ним секретариат и отделы. Именно ЦК и его органы определяли основную линию деятельности партии, идеологическую направленность, стратегию деятельности и так далее. Более того, именно через ЦК проходили все кадровые назначения в партии, что выражалось в следующем: «районные, городские и окружные комитеты партии избирались на соответствующих конференциях и подлежали утверждению вышестоящими партийными органами. При невозможности проведения конференций районные и городские комитеты назначались окружными и утверждались секретарями ЦК, а окружные комитеты назначались секретариатом ЦК КПЗБ» [3, c. 26]. </w:t>
      </w:r>
    </w:p>
    <w:p w14:paraId="6E36E5A3" w14:textId="77777777" w:rsidR="0067444A" w:rsidRDefault="0067444A" w:rsidP="0067444A">
      <w:pPr>
        <w:pStyle w:val="7"/>
      </w:pPr>
      <w:r>
        <w:t>Помимо этого, «при ЦК КПЗБ были созданы следующие отделы: профессиональный, деревенский, еврейское бюро, техники, МОПР, агитации в армии, женский агитпроп, по работе в самоуправлениях и организационный» [3, c. 26]. Фактически, эти отделы представляли собой те направления пропагандистской деятельности, которые осуществляла партия, в них заключались основные специалисты, сосредотачивались тематические материалы, которые обрабатывались и затем в виде пропагандистской литературы, специальных установок и подготовленных массовых мероприятий посылались вниз по цепи командования к непосредственным исполнителям.</w:t>
      </w:r>
    </w:p>
    <w:p w14:paraId="4B14858A" w14:textId="77777777" w:rsidR="0067444A" w:rsidRDefault="0067444A" w:rsidP="0067444A">
      <w:pPr>
        <w:pStyle w:val="7"/>
      </w:pPr>
      <w:r>
        <w:t xml:space="preserve">Таким образом, структура КПЗБ практически полностью идентична структуре любой коммунистической партии того периода и представляет собой несколько взаимосвязанных единиц, каждая из которых выполняет </w:t>
      </w:r>
      <w:r>
        <w:lastRenderedPageBreak/>
        <w:t>свои цели и задачи. При этом, особенностью организации КПЗБ на территории Западной Беларуси является её нелегальный и подпольный статус, что вынуждало сокращать численность данных единиц и повышению их мобильности.</w:t>
      </w:r>
    </w:p>
    <w:p w14:paraId="6D53EB8D" w14:textId="77777777" w:rsidR="0067444A" w:rsidRDefault="0067444A" w:rsidP="0067444A">
      <w:pPr>
        <w:pStyle w:val="7"/>
      </w:pPr>
      <w:r>
        <w:t>Сама характеристика структурных единиц партии следующая: Партячейки, низшие организационные структуры, занимались непосредственной работой с населением, а также готовили новых членов партии.  Районные и городские комитеты назначали различные должности в партийных ячейках, а также доносили до них программу действий как на непосредственном участке, так и партии в целом.  Окружные комитеты партии также занимались управлением горкомами и райкомами, а также налаживанием связи и пропагандистской работай в тюрьмах. Наконец, верхушкой организации был ЦК КПЗБ, его секретариат и отделы, которые и определяли линию действия партии, а также определяли все кадровые назначения.</w:t>
      </w:r>
    </w:p>
    <w:p w14:paraId="47807A0E" w14:textId="77777777" w:rsidR="0067444A" w:rsidRDefault="0067444A" w:rsidP="0067444A">
      <w:pPr>
        <w:pStyle w:val="7"/>
      </w:pPr>
      <w:r>
        <w:t>Подводя итог, КПЗБ, была готова к работе в рамках подполья и преследования со стороны официальных властей. Немалую роль в этой готовности сыграла и сама структура партии, выстроенная таким образом, что разгром низовых и средних ячеек не означал разгрома всей структуры, что наглядно подтвердил тот факт, что несмотря на активную репрессивную и поисковую деятельность польских властей, КПЗБ продержалась на территории Западной Беларуси более 15 лет.</w:t>
      </w:r>
    </w:p>
    <w:p w14:paraId="77290F3C" w14:textId="77777777" w:rsidR="0089679D" w:rsidRDefault="0089679D" w:rsidP="0067444A">
      <w:pPr>
        <w:pStyle w:val="7"/>
      </w:pPr>
    </w:p>
    <w:p w14:paraId="7D3A5AD1" w14:textId="77777777" w:rsidR="0089679D" w:rsidRDefault="0089679D" w:rsidP="0067444A">
      <w:pPr>
        <w:pStyle w:val="7"/>
      </w:pPr>
    </w:p>
    <w:p w14:paraId="2D81727E" w14:textId="103477B7" w:rsidR="0067444A" w:rsidRDefault="0067444A" w:rsidP="006F6A4F">
      <w:pPr>
        <w:pStyle w:val="8"/>
        <w:numPr>
          <w:ilvl w:val="0"/>
          <w:numId w:val="26"/>
        </w:numPr>
        <w:ind w:left="0" w:firstLine="709"/>
      </w:pPr>
      <w:r>
        <w:t>Гісторыя Беларусі: У 6 т. Т. 5. Беларусь у 1917–1945 гг. / А. Вабішчэвіч [і інш.]; Рэдкал.: М. Касцюк (гал. рэд.) [і інш.]. — Мінск: Эка</w:t>
      </w:r>
      <w:r w:rsidR="0089679D">
        <w:t>перспектыва, 2006. — 613 с.</w:t>
      </w:r>
    </w:p>
    <w:p w14:paraId="5A121846" w14:textId="77777777" w:rsidR="0067444A" w:rsidRDefault="0067444A" w:rsidP="006F6A4F">
      <w:pPr>
        <w:pStyle w:val="8"/>
        <w:numPr>
          <w:ilvl w:val="0"/>
          <w:numId w:val="26"/>
        </w:numPr>
        <w:ind w:left="0" w:firstLine="709"/>
      </w:pPr>
      <w:r>
        <w:t>Глинская, Т. Ю. КПЗБ - руководитель освободительной борьбы трудящихся Западной Белоруссии, 1924 -1928 гг. / Т. Ю. Глинская – Минск: «Беларусь», 1965. — 201 с.</w:t>
      </w:r>
    </w:p>
    <w:p w14:paraId="033A20BB" w14:textId="77777777" w:rsidR="0067444A" w:rsidRDefault="0067444A" w:rsidP="006F6A4F">
      <w:pPr>
        <w:pStyle w:val="8"/>
        <w:numPr>
          <w:ilvl w:val="0"/>
          <w:numId w:val="26"/>
        </w:numPr>
        <w:ind w:left="0" w:firstLine="709"/>
      </w:pPr>
      <w:r>
        <w:t>Зелинский</w:t>
      </w:r>
      <w:r w:rsidRPr="0097408C">
        <w:rPr>
          <w:lang w:val="ru-RU"/>
        </w:rPr>
        <w:t>,</w:t>
      </w:r>
      <w:r>
        <w:t xml:space="preserve"> П. И.</w:t>
      </w:r>
      <w:r w:rsidRPr="0097408C">
        <w:rPr>
          <w:lang w:val="ru-RU"/>
        </w:rPr>
        <w:t xml:space="preserve"> </w:t>
      </w:r>
      <w:r>
        <w:t>Политическая работа КПЗБ в массах, 1923- 1938.</w:t>
      </w:r>
      <w:r w:rsidRPr="0097408C">
        <w:rPr>
          <w:lang w:val="ru-RU"/>
        </w:rPr>
        <w:t xml:space="preserve"> / </w:t>
      </w:r>
      <w:r>
        <w:t>П.И. Зелинский – Мн.: изд-во «Университетское», 1986. – 136 с.</w:t>
      </w:r>
    </w:p>
    <w:p w14:paraId="68065D9A" w14:textId="77777777" w:rsidR="0067444A" w:rsidRPr="0089679D" w:rsidRDefault="0067444A" w:rsidP="006F6A4F">
      <w:pPr>
        <w:pStyle w:val="8"/>
        <w:numPr>
          <w:ilvl w:val="0"/>
          <w:numId w:val="26"/>
        </w:numPr>
        <w:ind w:left="0" w:firstLine="709"/>
        <w:rPr>
          <w:szCs w:val="28"/>
        </w:rPr>
      </w:pPr>
      <w:r w:rsidRPr="0089679D">
        <w:rPr>
          <w:szCs w:val="28"/>
        </w:rPr>
        <w:t>Ліс, А.С. Ліс, А.С.Ліс, А.С. Браніслаў Тарашкевіч / А.С. Ліс. – Мінск : Навука і тэхніка, 1966. – 168 с.</w:t>
      </w:r>
    </w:p>
    <w:p w14:paraId="11AA17CF" w14:textId="77777777" w:rsidR="00DD0B92" w:rsidRPr="0097408C" w:rsidRDefault="00DD0B92" w:rsidP="00DD0B92">
      <w:pPr>
        <w:pStyle w:val="12"/>
      </w:pPr>
    </w:p>
    <w:p w14:paraId="456023DC" w14:textId="77777777" w:rsidR="00DD0B92" w:rsidRPr="009D63FE" w:rsidRDefault="000C69B3" w:rsidP="00DD0B92">
      <w:pPr>
        <w:pStyle w:val="Standard"/>
        <w:jc w:val="center"/>
        <w:rPr>
          <w:i/>
          <w:lang w:val="be-BY"/>
        </w:rPr>
      </w:pPr>
      <w:hyperlink w:anchor="_СОДЕРЖАНИЕ" w:history="1">
        <w:r w:rsidR="00DD0B92" w:rsidRPr="009D63FE">
          <w:rPr>
            <w:rStyle w:val="a9"/>
            <w:rFonts w:ascii="Times New Roman" w:hAnsi="Times New Roman" w:cs="Times New Roman"/>
            <w:i/>
            <w:color w:val="auto"/>
            <w:sz w:val="28"/>
            <w:szCs w:val="28"/>
            <w:u w:val="none"/>
            <w:lang w:val="be-BY"/>
          </w:rPr>
          <w:t>К содержанию</w:t>
        </w:r>
      </w:hyperlink>
    </w:p>
    <w:p w14:paraId="144C8997" w14:textId="77777777" w:rsidR="00DD0B92" w:rsidRDefault="00DD0B92" w:rsidP="00DD0B92">
      <w:pPr>
        <w:spacing w:after="0" w:line="240" w:lineRule="auto"/>
        <w:jc w:val="both"/>
        <w:rPr>
          <w:rFonts w:ascii="Times New Roman" w:hAnsi="Times New Roman" w:cs="Times New Roman"/>
          <w:bCs/>
          <w:sz w:val="28"/>
          <w:szCs w:val="28"/>
          <w:lang w:val="be-BY"/>
        </w:rPr>
      </w:pPr>
    </w:p>
    <w:p w14:paraId="24D66729" w14:textId="77777777" w:rsidR="0067444A" w:rsidRDefault="0067444A" w:rsidP="00093C1D">
      <w:pPr>
        <w:pStyle w:val="12"/>
        <w:rPr>
          <w:lang w:val="ru-RU"/>
        </w:rPr>
      </w:pPr>
    </w:p>
    <w:p w14:paraId="3961B098" w14:textId="77777777" w:rsidR="0089679D" w:rsidRDefault="0089679D" w:rsidP="00093C1D">
      <w:pPr>
        <w:pStyle w:val="12"/>
        <w:rPr>
          <w:lang w:val="ru-RU"/>
        </w:rPr>
      </w:pPr>
    </w:p>
    <w:p w14:paraId="73C08C7C" w14:textId="77777777" w:rsidR="0089679D" w:rsidRDefault="0089679D" w:rsidP="00093C1D">
      <w:pPr>
        <w:pStyle w:val="12"/>
        <w:rPr>
          <w:lang w:val="ru-RU"/>
        </w:rPr>
      </w:pPr>
    </w:p>
    <w:p w14:paraId="1DC0F241" w14:textId="77777777" w:rsidR="002E4BD4" w:rsidRDefault="002E4BD4" w:rsidP="00093C1D">
      <w:pPr>
        <w:pStyle w:val="12"/>
        <w:rPr>
          <w:lang w:val="ru-RU"/>
        </w:rPr>
      </w:pPr>
    </w:p>
    <w:p w14:paraId="0E1A7923" w14:textId="77777777" w:rsidR="002E4BD4" w:rsidRDefault="002E4BD4" w:rsidP="00093C1D">
      <w:pPr>
        <w:pStyle w:val="12"/>
        <w:rPr>
          <w:lang w:val="ru-RU"/>
        </w:rPr>
      </w:pPr>
    </w:p>
    <w:p w14:paraId="28A5FF2B" w14:textId="77777777" w:rsidR="002E4BD4" w:rsidRDefault="002E4BD4" w:rsidP="00093C1D">
      <w:pPr>
        <w:pStyle w:val="12"/>
        <w:rPr>
          <w:lang w:val="ru-RU"/>
        </w:rPr>
      </w:pPr>
    </w:p>
    <w:p w14:paraId="3CDA6603" w14:textId="77777777" w:rsidR="0089679D" w:rsidRDefault="0089679D" w:rsidP="00093C1D">
      <w:pPr>
        <w:pStyle w:val="12"/>
        <w:rPr>
          <w:lang w:val="ru-RU"/>
        </w:rPr>
      </w:pPr>
    </w:p>
    <w:p w14:paraId="29B3F17C" w14:textId="77777777" w:rsidR="0089679D" w:rsidRDefault="0089679D" w:rsidP="0089679D">
      <w:pPr>
        <w:pStyle w:val="12"/>
      </w:pPr>
      <w:r>
        <w:lastRenderedPageBreak/>
        <w:t>УДК 94(476)</w:t>
      </w:r>
    </w:p>
    <w:p w14:paraId="6DE719CA" w14:textId="50848FAF" w:rsidR="0089679D" w:rsidRDefault="0089679D" w:rsidP="00DA1640">
      <w:pPr>
        <w:pStyle w:val="14"/>
      </w:pPr>
      <w:bookmarkStart w:id="89" w:name="_Toc181894106"/>
      <w:r>
        <w:t>И.А.</w:t>
      </w:r>
      <w:r w:rsidR="00DA1640">
        <w:t xml:space="preserve"> </w:t>
      </w:r>
      <w:r>
        <w:t>Бобрынева</w:t>
      </w:r>
      <w:bookmarkEnd w:id="89"/>
      <w:r>
        <w:t xml:space="preserve"> </w:t>
      </w:r>
    </w:p>
    <w:p w14:paraId="7743E3AE" w14:textId="14193178" w:rsidR="0089679D" w:rsidRPr="00DA1640" w:rsidRDefault="0089679D" w:rsidP="00DA1640">
      <w:pPr>
        <w:pStyle w:val="3"/>
      </w:pPr>
      <w:r w:rsidRPr="00DA1640">
        <w:t>Брест, БрГУ им. А.С. Пушкина</w:t>
      </w:r>
    </w:p>
    <w:p w14:paraId="02828EEA" w14:textId="150A151E" w:rsidR="0089679D" w:rsidRPr="0089679D" w:rsidRDefault="0089679D" w:rsidP="0089679D">
      <w:pPr>
        <w:pStyle w:val="4"/>
        <w:rPr>
          <w:lang w:val="ru-RU"/>
        </w:rPr>
      </w:pPr>
      <w:r>
        <w:t xml:space="preserve">Научный руководитель: А.Ю. Бодак, </w:t>
      </w:r>
      <w:r>
        <w:rPr>
          <w:lang w:val="ru-RU"/>
        </w:rPr>
        <w:t>к.и.н.</w:t>
      </w:r>
      <w:r>
        <w:t>, доцент</w:t>
      </w:r>
    </w:p>
    <w:p w14:paraId="65B14E7E" w14:textId="77777777" w:rsidR="0089679D" w:rsidRDefault="0089679D" w:rsidP="0089679D">
      <w:pPr>
        <w:pStyle w:val="7"/>
      </w:pPr>
    </w:p>
    <w:p w14:paraId="5E1D2D69" w14:textId="0BEA68A3" w:rsidR="0089679D" w:rsidRDefault="0089679D" w:rsidP="0089679D">
      <w:pPr>
        <w:pStyle w:val="5"/>
      </w:pPr>
      <w:r>
        <w:t xml:space="preserve">СОЦИАЛЬНО-КУЛЬТУРНОЕ РАЗВИТИЕ ГАНЦЕВИЧСКОГО РАЙОНА В 1939 – 1941 ГГ. </w:t>
      </w:r>
    </w:p>
    <w:p w14:paraId="20640CBB" w14:textId="77777777" w:rsidR="0089679D" w:rsidRDefault="0089679D" w:rsidP="0089679D">
      <w:pPr>
        <w:pStyle w:val="7"/>
      </w:pPr>
    </w:p>
    <w:p w14:paraId="394937E1" w14:textId="77777777" w:rsidR="0089679D" w:rsidRDefault="0089679D" w:rsidP="0089679D">
      <w:pPr>
        <w:pStyle w:val="6"/>
      </w:pPr>
      <w:r>
        <w:t>В данной статье будут рассмотрены меры по восстановлению советской властью последствий господства поляков в социально-культурной сфере Ганцевичского района. Период охватывает 1939 год – воссоединение Западной и восточной Беларуси, и 1941 год – начало Великой Отечественной войны, где на первый план вышли другие задачи.</w:t>
      </w:r>
    </w:p>
    <w:p w14:paraId="48F17354" w14:textId="77777777" w:rsidR="0089679D" w:rsidRDefault="0089679D" w:rsidP="0089679D">
      <w:pPr>
        <w:pStyle w:val="7"/>
      </w:pPr>
    </w:p>
    <w:p w14:paraId="71E22704" w14:textId="77777777" w:rsidR="0089679D" w:rsidRDefault="0089679D" w:rsidP="0089679D">
      <w:pPr>
        <w:pStyle w:val="7"/>
      </w:pPr>
      <w:r>
        <w:t>После похода Красной армии в сентябре 1939 г. Ганцевичи и район воссоединились с БССР и была установлена советская власть. Сразу же была дана неутешительная оценка состояния района. Абсолютна вся культурная и социальная сфера поляками не развивалась почти никак. Школ было недостаточно, их было 35 на весь район, а штат учителей очень скромным, это привело к тому, что к 1931г. 43% населения в возрасте от 10 лет старше было неграмотным</w:t>
      </w:r>
      <w:r>
        <w:rPr>
          <w:lang w:val="be-BY"/>
        </w:rPr>
        <w:t xml:space="preserve"> </w:t>
      </w:r>
      <w:r>
        <w:t>[13, стр. 106]. Здравоохранение почти отсутствовало, так как в 1925г. Больница, построенная в 1923г., была перенесена в Лунинец. Части района были доступны услуги всего одного врача. В районе не проводилось ни спортивных, ни культурно-просветительных мероприятий, не было мест, где маленькие дети и молодёжь могла бы собраться для провидения вечера. Единственным местом, где люди могли собраться, был базар, который проходил каждый четверг.</w:t>
      </w:r>
    </w:p>
    <w:p w14:paraId="0BFFCBED" w14:textId="77777777" w:rsidR="0089679D" w:rsidRDefault="0089679D" w:rsidP="0089679D">
      <w:pPr>
        <w:pStyle w:val="7"/>
      </w:pPr>
      <w:r>
        <w:t>Впервые заседание о культурном развитии района советской властью было проведено в апреле 1940г. На заседании были определены причины культурного падения и пути их решения. Главной причиной было определено отсутствие мест, где молодежь могла бы культурно отдыхать. На этом же заседании констатировалось отсутствие районной библиотеки, районной газеты и радиовещания. Было принято решение о проведение смотра детской художественной самодеятельности</w:t>
      </w:r>
      <w:r>
        <w:rPr>
          <w:lang w:val="be-BY"/>
        </w:rPr>
        <w:t xml:space="preserve"> </w:t>
      </w:r>
      <w:r>
        <w:t>[13, Л.10]. Его проведение было поручено комсомолу и прошел он в мае 1940г. К смотру подошли со всей ответственностью, об этом можно судить по комиссии, которая была сформирована для организации мероприятия: 3-й секретарь К.И.Нестюк, зав. районо А.И.Ильин, инструктор райкома комсомола С.И.Процко и зав. отдела школьной молодёжи райкома М.Г.Зубов, хотя не обошлось без критики</w:t>
      </w:r>
      <w:r>
        <w:rPr>
          <w:lang w:val="be-BY"/>
        </w:rPr>
        <w:t xml:space="preserve"> </w:t>
      </w:r>
      <w:r>
        <w:t>[4, Л.5].</w:t>
      </w:r>
    </w:p>
    <w:p w14:paraId="6F3F0628" w14:textId="77777777" w:rsidR="0089679D" w:rsidRDefault="0089679D" w:rsidP="0089679D">
      <w:pPr>
        <w:pStyle w:val="7"/>
      </w:pPr>
      <w:r>
        <w:t xml:space="preserve">В июне 1940 г. силами жителей райцентра началось строительство клуба, парка культуры и отдыха, начала работу районная библиотека. То </w:t>
      </w:r>
      <w:r>
        <w:lastRenderedPageBreak/>
        <w:t>есть получали реализацию планы, принятые на заседании в апреле. Клуб получил название Дом социалистической культуры. Его строительство планировали завершить к июлю, но оно затянулось до осени. Его вместимость была 450 человек. При нём действовали различные кружки: хоровой, драматический, музыкально-струнный и танцевальный. Было проведено 5 увеселительных вечеров для молодежи</w:t>
      </w:r>
      <w:r>
        <w:rPr>
          <w:lang w:val="be-BY"/>
        </w:rPr>
        <w:t xml:space="preserve"> </w:t>
      </w:r>
      <w:r>
        <w:t>[3, Л.44].</w:t>
      </w:r>
    </w:p>
    <w:p w14:paraId="5FDC1C2C" w14:textId="77777777" w:rsidR="0089679D" w:rsidRDefault="0089679D" w:rsidP="0089679D">
      <w:pPr>
        <w:pStyle w:val="7"/>
      </w:pPr>
      <w:r>
        <w:t>Таким образом уже к концу 1940г. были очевидны положительные сдвиги в культурном развитии района. Позднее была даже получена киноустановка и обустроен зрительный зал. А сельское население обеспечили звуковой кинопередвижкой.</w:t>
      </w:r>
    </w:p>
    <w:p w14:paraId="1A31B6B4" w14:textId="77777777" w:rsidR="0089679D" w:rsidRDefault="0089679D" w:rsidP="0089679D">
      <w:pPr>
        <w:pStyle w:val="7"/>
      </w:pPr>
      <w:r>
        <w:t>Изменениям подверглись и праздничные дни. Полностью исчезли польские праздники, Новый год и Рождество стали рабочими днями, стали отмечать 1 мая.</w:t>
      </w:r>
    </w:p>
    <w:p w14:paraId="003ACE64" w14:textId="77777777" w:rsidR="0089679D" w:rsidRDefault="0089679D" w:rsidP="0089679D">
      <w:pPr>
        <w:pStyle w:val="7"/>
      </w:pPr>
      <w:r>
        <w:t>Советской власть уделялось внимание и физическому воспитанию. Занятие спортом было поручено комсомолу. Летом 1940 г. район впервые отметил Всесоюзный День физкультурника. В этот день все первичные организации комсомола провели соревнования по футболу и волейболу, а также по видам спорта, которые официально имели оборонное значение – бросание гранаты, велогонкам, прыжкам и бегу</w:t>
      </w:r>
      <w:r>
        <w:rPr>
          <w:lang w:val="be-BY"/>
        </w:rPr>
        <w:t xml:space="preserve"> </w:t>
      </w:r>
      <w:r>
        <w:t>[3, л.87].</w:t>
      </w:r>
    </w:p>
    <w:p w14:paraId="6B0C923D" w14:textId="77777777" w:rsidR="0089679D" w:rsidRDefault="0089679D" w:rsidP="0089679D">
      <w:pPr>
        <w:pStyle w:val="7"/>
      </w:pPr>
      <w:r>
        <w:t>С 3 по 18 мая 1941 г. в районе был проведён массовый комсомольский кросс, посвящённый Дню большевистской печати. Кросс было решено посвятить молодёжной газете БССР «Чырвоная змена»</w:t>
      </w:r>
      <w:r>
        <w:rPr>
          <w:lang w:val="be-BY"/>
        </w:rPr>
        <w:t xml:space="preserve"> </w:t>
      </w:r>
      <w:r>
        <w:t xml:space="preserve">[11, с.1]. </w:t>
      </w:r>
    </w:p>
    <w:p w14:paraId="5C532C0A" w14:textId="77777777" w:rsidR="0089679D" w:rsidRDefault="0089679D" w:rsidP="0089679D">
      <w:pPr>
        <w:pStyle w:val="7"/>
      </w:pPr>
      <w:r>
        <w:t>Налаживание системы школьного образования в 1939 г. стало самой важнейшей задачей. Ведь образованное население – первый шаг на пути к культурному развитию. До конца 1939 г. на Полесье продолжала действовать польская образовательная система, но в неё внесли некоторые изменения. Из программы сразу исчезли религиозные предметы, история и география Польши, латинский и греческий язык.</w:t>
      </w:r>
    </w:p>
    <w:p w14:paraId="7DCD69D9" w14:textId="77777777" w:rsidR="0089679D" w:rsidRDefault="0089679D" w:rsidP="0089679D">
      <w:pPr>
        <w:pStyle w:val="7"/>
        <w:rPr>
          <w:lang w:val="be-BY"/>
        </w:rPr>
      </w:pPr>
      <w:r>
        <w:t>К 20 января 1940 г. было решено перевести школы на советскую образовательную систему. Прежние общеобразовательные школы, гимназии и лицеи были преобразованы в начальные - НШ (4 класса), неполносредние – НСШ (7 классов) и средние – СШ (10 классов). Общие школы 1 ступени стали начальными с 1 по 4 класс. Общие школы 2 и 3 ступени (6 и 7 классов) – неполносредними. Гимназии и лицеи стали средними школами. Учебный год поделили на 4 четверти с каникулами 6-9 ноября, 23 декабря – 10 января, 24 марта – 1 апреля, 18 мая – 1 сентября [10, сс.196-197]</w:t>
      </w:r>
      <w:r>
        <w:rPr>
          <w:lang w:val="be-BY"/>
        </w:rPr>
        <w:t>.</w:t>
      </w:r>
    </w:p>
    <w:p w14:paraId="4C62B174" w14:textId="77777777" w:rsidR="0089679D" w:rsidRDefault="0089679D" w:rsidP="0089679D">
      <w:pPr>
        <w:pStyle w:val="7"/>
      </w:pPr>
      <w:r>
        <w:t>Для ликвидации неграмотности и малограмотности были созданы «кружки по ликвидации». Активное участие в их работе принимали комсомольцы, направленные райкомом партии. [7, л.17].</w:t>
      </w:r>
    </w:p>
    <w:p w14:paraId="013E804B" w14:textId="77777777" w:rsidR="0089679D" w:rsidRDefault="0089679D" w:rsidP="0089679D">
      <w:pPr>
        <w:pStyle w:val="7"/>
      </w:pPr>
      <w:r>
        <w:lastRenderedPageBreak/>
        <w:t>Однако на начало 1941 г. из 3 600 неграмотных и малограмотных удалось привлечь к учебе 2 025 человек.</w:t>
      </w:r>
    </w:p>
    <w:p w14:paraId="55CC65DB" w14:textId="77777777" w:rsidR="0089679D" w:rsidRDefault="0089679D" w:rsidP="0089679D">
      <w:pPr>
        <w:pStyle w:val="7"/>
      </w:pPr>
      <w:r>
        <w:t>К 1940-1941 учебному году в районе действовало уже 45 школ по сравнению с 35 при поляках. Изначально школьников было пять с половиной тысяч, но к ноябрю стало шесть тысяч, хотя ещё более сотни детей остались не охвачены школой. Однако если со школами ситуация улучшилась, то с учителями стало только хуже. Нехватка в этом учебном году составила 100 учителей [12, с. 87]. Такая ситуация была вызвана позицией по отношению к полякам. Многих из них уволили. Серьёзными трудностями в работе школ стал недостаток оборудования, их обеспеченность топливом в отопительный период. В школах не было должного ремонта для комфорта учеников, а зимой было ещё и холодно. Однако к лету 1941 г. большая часть материальных проблем школ была устранена.</w:t>
      </w:r>
    </w:p>
    <w:p w14:paraId="1D6C6DA2" w14:textId="77777777" w:rsidR="0089679D" w:rsidRDefault="0089679D" w:rsidP="0089679D">
      <w:pPr>
        <w:pStyle w:val="7"/>
      </w:pPr>
      <w:r>
        <w:t>На этом преобразования в сфере образования не закончились. Было принято решение об открытие новых низших профессионально-технических школ на Ганцевщине, которые назывались школами фабрично-заводского ученичества(ФЗУ). Несмотря на успех с начальным образованием, преобразование в этом звене давались с огромным трудом. Наиболее сложным было привлечь учеников и дать им хорошие условия. Как будет показано ниже, даже частые проверки не ускоряли темпы становления низших профессионально-технических школ.</w:t>
      </w:r>
    </w:p>
    <w:p w14:paraId="63B6B472" w14:textId="77777777" w:rsidR="0089679D" w:rsidRDefault="0089679D" w:rsidP="0089679D">
      <w:pPr>
        <w:pStyle w:val="7"/>
      </w:pPr>
      <w:r>
        <w:t xml:space="preserve">На 1940-1941 г. по решению руководства СССР планировалось в системе ФЗУ подготовить до 1,5 млн. высококвалифицированных рабочих. Для БССР был определён план в 22 тыс. человек. Ганцевичский район не стал исключением. Летом 1940 г. обкомом партии было принято решение о создании в районе ФЗУ при Мальковичском лесозаводе на 100 учащихся. </w:t>
      </w:r>
    </w:p>
    <w:p w14:paraId="73355606" w14:textId="77777777" w:rsidR="0089679D" w:rsidRDefault="0089679D" w:rsidP="0089679D">
      <w:pPr>
        <w:pStyle w:val="7"/>
      </w:pPr>
      <w:r>
        <w:t>С марта 1941 г. райком начал агитацию среди населения о значении школ ФЗО для лесной промышленности. В районе планировалось открыть 2 школы ФЗО – в Мальковичах и Переволоках</w:t>
      </w:r>
      <w:r>
        <w:rPr>
          <w:lang w:val="be-BY"/>
        </w:rPr>
        <w:t xml:space="preserve"> </w:t>
      </w:r>
      <w:r>
        <w:t xml:space="preserve">[5, л.35]. </w:t>
      </w:r>
    </w:p>
    <w:p w14:paraId="60321180" w14:textId="77777777" w:rsidR="0089679D" w:rsidRDefault="0089679D" w:rsidP="0089679D">
      <w:pPr>
        <w:pStyle w:val="7"/>
      </w:pPr>
      <w:r>
        <w:t>В середине марта 1941 г. райком отмечал, что подготовка и оборудование помещений для ФЗО идёт медленно. Подготовка Мальковичской школы ФЗО официально оказалась под угрозой срыва – не были собраны 2 перевезённых дома. Переданные школе дома не белились и не ремонтировались. Рабочие винили в задержке нехватку материалов.</w:t>
      </w:r>
    </w:p>
    <w:p w14:paraId="7BD635EF" w14:textId="77777777" w:rsidR="0089679D" w:rsidRDefault="0089679D" w:rsidP="0089679D">
      <w:pPr>
        <w:pStyle w:val="7"/>
      </w:pPr>
      <w:r>
        <w:t>Неудивительно, что учащиеся не спешили учиться в таких условиях. На начало мая 1941 г. некомплект Мальковичской школы составлял 20 человек. [12,</w:t>
      </w:r>
      <w:r>
        <w:rPr>
          <w:lang w:val="be-BY"/>
        </w:rPr>
        <w:t xml:space="preserve"> </w:t>
      </w:r>
      <w:r>
        <w:t>лл.152-153].</w:t>
      </w:r>
    </w:p>
    <w:p w14:paraId="63E01B3E" w14:textId="77777777" w:rsidR="0089679D" w:rsidRDefault="0089679D" w:rsidP="0089679D">
      <w:pPr>
        <w:pStyle w:val="7"/>
      </w:pPr>
      <w:r>
        <w:t>13 мая 1941 г. был утверждён комендант школы – Шпеньков Александр Иванович, партиец с 1932 г. [6, л.179]</w:t>
      </w:r>
      <w:r>
        <w:rPr>
          <w:lang w:val="be-BY"/>
        </w:rPr>
        <w:t>.</w:t>
      </w:r>
      <w:r>
        <w:t xml:space="preserve">Это позволило постепенно налаживать быт учащихся. Процесс обучения шёл в хорошем темпе, </w:t>
      </w:r>
      <w:r>
        <w:lastRenderedPageBreak/>
        <w:t>учащиеся были вовлечены в производственные соревнования. Но были и ещё неналаженные моменты: слабая военная подготовка, неопрятные комнаты общежития из-за некультурности курсантов, отсутствие инструктажей по технике безопасности, нерегулярность доставки питания для курсантов на места работы в лесу [6, лл.6-7].</w:t>
      </w:r>
    </w:p>
    <w:p w14:paraId="2781F876" w14:textId="77777777" w:rsidR="0089679D" w:rsidRDefault="0089679D" w:rsidP="0089679D">
      <w:pPr>
        <w:pStyle w:val="7"/>
        <w:rPr>
          <w:lang w:val="be-BY"/>
        </w:rPr>
      </w:pPr>
      <w:r>
        <w:t>В д.Переволоки школе отдавали здание, которое готовили под детский дом вместимостью на 200 человек.Школа получила свой номер – 75. Директором школы стал Н.М.Чумило [7, л.66]</w:t>
      </w:r>
      <w:r>
        <w:rPr>
          <w:lang w:val="be-BY"/>
        </w:rPr>
        <w:t>.</w:t>
      </w:r>
    </w:p>
    <w:p w14:paraId="40257FAA" w14:textId="77777777" w:rsidR="0089679D" w:rsidRDefault="0089679D" w:rsidP="0089679D">
      <w:pPr>
        <w:pStyle w:val="7"/>
      </w:pPr>
      <w:r>
        <w:rPr>
          <w:lang w:val="be-BY"/>
        </w:rPr>
        <w:t>С</w:t>
      </w:r>
      <w:r>
        <w:t>оветское руководство понимало, что также необходимо подумать и о здоровье населения, так как весенним кроссом и турниками тяжёлые болезни вылечить не удастся. В условиях 1921 г., когда штат состоял из 1 врача и 1 фельдшера, смертность была высокой, а продолжительность жизни населения – короткой.   Поэтому после анализа ошибок предшествующей власти в конце 1939 г. в Ганцевичах открылась Ганцевичская центральная районная больница.</w:t>
      </w:r>
    </w:p>
    <w:p w14:paraId="799F6A75" w14:textId="77777777" w:rsidR="0089679D" w:rsidRDefault="0089679D" w:rsidP="0089679D">
      <w:pPr>
        <w:pStyle w:val="7"/>
      </w:pPr>
      <w:r>
        <w:t>На тот момент штат включал в себя 3 врача, 10 медицинских работников среднего медицинского персонала и почти столько же младшего [13, с.364].</w:t>
      </w:r>
    </w:p>
    <w:p w14:paraId="73C3F234" w14:textId="77777777" w:rsidR="0089679D" w:rsidRDefault="0089679D" w:rsidP="0089679D">
      <w:pPr>
        <w:pStyle w:val="7"/>
      </w:pPr>
      <w:r>
        <w:t>В начале 1940 г. в райцентре открылось районное отделение связи – советская почта. Возглавил его «восточник» Моисей Габриэлевич Лейкиин, бывший начальник отдела связи в Силютах Витебской области. Большинство рядовых сотрудников районной почты остались от прежней польской власти.</w:t>
      </w:r>
    </w:p>
    <w:p w14:paraId="3F2F9DB7" w14:textId="77777777" w:rsidR="0089679D" w:rsidRDefault="0089679D" w:rsidP="0089679D">
      <w:pPr>
        <w:pStyle w:val="7"/>
      </w:pPr>
      <w:r>
        <w:t>Как и во многих новых учреждениях, почтовая служба так же прошла непростой путь становления. Кроме того, имелись сложности с подпиской – ею никто всерьёз не занимался. Разносчики газет не имели путевых листов, чтобы знать, куда разносить газеты. В итоге почтальоны в своё рабочее время писали на газетах адреса получателей. В ночное время в конторе связи не было сторожа, и работала только одна телефонистка. Также не полные сутки работал телеграф из-за отсутствия ещё одного телеграфиста [8, л.28].</w:t>
      </w:r>
    </w:p>
    <w:p w14:paraId="20C253D1" w14:textId="77777777" w:rsidR="0089679D" w:rsidRDefault="0089679D" w:rsidP="0089679D">
      <w:pPr>
        <w:pStyle w:val="7"/>
      </w:pPr>
      <w:r>
        <w:t>Отмечалось, что с приходом Советской власти резко возросла почтовая активность жителей района. Это было отражено в планировании услуг, за которым районная почта не успевала. Так, 9-месячный план в 117 тысяч рублей оказался выполненным на 100 тысяч, на последний квартал года – в 61 тысячу выполнили на 59 435 рублей.</w:t>
      </w:r>
    </w:p>
    <w:p w14:paraId="5A1646B3" w14:textId="77777777" w:rsidR="0089679D" w:rsidRDefault="0089679D" w:rsidP="0089679D">
      <w:pPr>
        <w:pStyle w:val="7"/>
      </w:pPr>
      <w:r>
        <w:t>Тогда же отметили, что если при поляках на Ганцевичской почте работало 8 человек, то теперь – 24. Всего в районном почтовом отделении работало 42 человека.</w:t>
      </w:r>
    </w:p>
    <w:p w14:paraId="23A32FB3" w14:textId="77777777" w:rsidR="0089679D" w:rsidRDefault="0089679D" w:rsidP="0089679D">
      <w:pPr>
        <w:pStyle w:val="7"/>
      </w:pPr>
      <w:r>
        <w:t xml:space="preserve">Неоднократно подчёркивались плохие условия в здании почты. Помещение почты было тесным, и различные почтовые службы теснились буквально друг у друга на голове. В комнате, где располагался коммутатор, </w:t>
      </w:r>
      <w:r>
        <w:lastRenderedPageBreak/>
        <w:t>складывали посылки. На ночь посылки для отправки и получения смешивались в одной кладовой [9, л.1].</w:t>
      </w:r>
    </w:p>
    <w:p w14:paraId="4669A45E" w14:textId="77777777" w:rsidR="0089679D" w:rsidRDefault="0089679D" w:rsidP="0089679D">
      <w:pPr>
        <w:pStyle w:val="7"/>
      </w:pPr>
      <w:r>
        <w:t>В качестве мер по наведению порядка на почте тогда решили проводить два раза в неделю занятия по техминимуму, соблюдать трудовую дисциплину, своевременно доставлять почту в село, надавить на областное управление связи для проведения прямого провода с областным центром – Пинском, установить телефонную связь Новосёлковского сельсовета с центром, а также выбить стройматериалы для постройки нового здания конторы связи (там же). 5 мая 1941 г. в районе отметили День большевистской печати. В связи с этим во всех сельсоветах были проведены собрания о роли и значении печати. Кроме того, с 5 по 20 мая состоялись совещания коллективов стенгазет, где говорилось о необходимости усилить критические статьи и призывали рабселькоров (корреспондентов из народа) «укреплять революционную бдительность». Так что, по-видимому, основной формой районной печати оставалась стенная [2, Л.137].</w:t>
      </w:r>
    </w:p>
    <w:p w14:paraId="5DD388C8" w14:textId="77777777" w:rsidR="0089679D" w:rsidRDefault="0089679D" w:rsidP="0089679D">
      <w:pPr>
        <w:pStyle w:val="7"/>
      </w:pPr>
      <w:r>
        <w:t>Таким образом, наблюдаются положительные сдвиги в социокультурном развитии Ганцевичского района. Построены новые школы, открыта больница. Район перестал быть изолированным, хотя и тут имелись некоторые проблемы. Всё это позволяет уверенно говорить о положительных сдвигах в области социокультурного развития района после прихода советской власти.</w:t>
      </w:r>
    </w:p>
    <w:p w14:paraId="17334A4F" w14:textId="77777777" w:rsidR="0089679D" w:rsidRDefault="0089679D" w:rsidP="0089679D">
      <w:pPr>
        <w:spacing w:after="0" w:line="240" w:lineRule="auto"/>
        <w:ind w:firstLine="709"/>
        <w:contextualSpacing/>
        <w:jc w:val="both"/>
        <w:rPr>
          <w:rFonts w:ascii="Times New Roman" w:hAnsi="Times New Roman" w:cs="Times New Roman"/>
          <w:sz w:val="28"/>
          <w:szCs w:val="28"/>
        </w:rPr>
      </w:pPr>
    </w:p>
    <w:p w14:paraId="3ABCF6C7" w14:textId="77777777" w:rsidR="0089679D" w:rsidRDefault="0089679D" w:rsidP="0089679D">
      <w:pPr>
        <w:spacing w:after="0" w:line="240" w:lineRule="auto"/>
        <w:ind w:firstLine="709"/>
        <w:contextualSpacing/>
        <w:jc w:val="both"/>
        <w:rPr>
          <w:rFonts w:ascii="Times New Roman" w:hAnsi="Times New Roman" w:cs="Times New Roman"/>
          <w:sz w:val="28"/>
          <w:szCs w:val="28"/>
        </w:rPr>
      </w:pPr>
    </w:p>
    <w:p w14:paraId="25B67086" w14:textId="0E8382E2" w:rsidR="0089679D" w:rsidRDefault="0089679D" w:rsidP="006F6A4F">
      <w:pPr>
        <w:pStyle w:val="8"/>
        <w:numPr>
          <w:ilvl w:val="0"/>
          <w:numId w:val="27"/>
        </w:numPr>
        <w:ind w:left="0" w:firstLine="709"/>
      </w:pPr>
      <w:r>
        <w:t>Государственный Архив Брестской области (далее ГАБО). – Ф.2219-п. - Оп.1. – Д.7.</w:t>
      </w:r>
    </w:p>
    <w:p w14:paraId="63078484" w14:textId="5E180D56" w:rsidR="0089679D" w:rsidRDefault="0089679D" w:rsidP="0089679D">
      <w:pPr>
        <w:pStyle w:val="8"/>
      </w:pPr>
      <w:r>
        <w:t>ГАБО. – Ф.2219-п. - Оп.1. – Д.134.</w:t>
      </w:r>
    </w:p>
    <w:p w14:paraId="3273B2DE" w14:textId="6E4C31A8" w:rsidR="0089679D" w:rsidRDefault="0089679D" w:rsidP="0089679D">
      <w:pPr>
        <w:pStyle w:val="8"/>
      </w:pPr>
      <w:r>
        <w:t>ГАБО. – Ф.2219-п. – Оп.1. – Д.14.</w:t>
      </w:r>
    </w:p>
    <w:p w14:paraId="1BA1AC3E" w14:textId="4DA8F724" w:rsidR="0089679D" w:rsidRDefault="0089679D" w:rsidP="0089679D">
      <w:pPr>
        <w:pStyle w:val="8"/>
      </w:pPr>
      <w:r>
        <w:t>ГАБО. – Ф.2219-п. - Оп.1. – Д.16.</w:t>
      </w:r>
    </w:p>
    <w:p w14:paraId="245985D7" w14:textId="418B8301" w:rsidR="0089679D" w:rsidRDefault="0089679D" w:rsidP="0089679D">
      <w:pPr>
        <w:pStyle w:val="8"/>
      </w:pPr>
      <w:r>
        <w:t>ГАБО. – Ф.2219-п. – Оп.1. – Д.19.</w:t>
      </w:r>
    </w:p>
    <w:p w14:paraId="19704F3E" w14:textId="04732FB4" w:rsidR="0089679D" w:rsidRDefault="0089679D" w:rsidP="0089679D">
      <w:pPr>
        <w:pStyle w:val="8"/>
      </w:pPr>
      <w:r>
        <w:t>ГАБО. – Ф.2219-п. – Оп.1. – Д.27.</w:t>
      </w:r>
    </w:p>
    <w:p w14:paraId="049CB19A" w14:textId="02626623" w:rsidR="0089679D" w:rsidRDefault="0089679D" w:rsidP="0089679D">
      <w:pPr>
        <w:pStyle w:val="8"/>
      </w:pPr>
      <w:r>
        <w:t>ГАБО. – Ф.2219-п. – Оп.1. – Д.41.</w:t>
      </w:r>
    </w:p>
    <w:p w14:paraId="0A561DA4" w14:textId="44B233DA" w:rsidR="0089679D" w:rsidRDefault="0089679D" w:rsidP="0089679D">
      <w:pPr>
        <w:pStyle w:val="8"/>
      </w:pPr>
      <w:r>
        <w:t>ГАБО. – Ф.2219-п. – Оп.1. – Д.42.</w:t>
      </w:r>
    </w:p>
    <w:p w14:paraId="24BBD500" w14:textId="56EBA99F" w:rsidR="0089679D" w:rsidRDefault="0089679D" w:rsidP="0089679D">
      <w:pPr>
        <w:pStyle w:val="8"/>
      </w:pPr>
      <w:r>
        <w:t>ГАБО. – Ф.2219-п. - Оп.1. – Д.55.</w:t>
      </w:r>
    </w:p>
    <w:p w14:paraId="54E73239" w14:textId="73FD7334" w:rsidR="0089679D" w:rsidRDefault="0089679D" w:rsidP="0089679D">
      <w:pPr>
        <w:pStyle w:val="8"/>
      </w:pPr>
      <w:r>
        <w:t>ГАБО. – Ф.2219-п. - Оп.1. – Д.6.</w:t>
      </w:r>
    </w:p>
    <w:p w14:paraId="447E8AA6" w14:textId="5B0470D0" w:rsidR="0089679D" w:rsidRDefault="0089679D" w:rsidP="0089679D">
      <w:pPr>
        <w:pStyle w:val="8"/>
      </w:pPr>
      <w:r>
        <w:t>ГАБО. – Ф.2219-п. - Оп.1. – Д.91.</w:t>
      </w:r>
    </w:p>
    <w:p w14:paraId="4599E942" w14:textId="31FD5E4D" w:rsidR="0089679D" w:rsidRDefault="0089679D" w:rsidP="0089679D">
      <w:pPr>
        <w:pStyle w:val="8"/>
      </w:pPr>
      <w:r>
        <w:t>Ганцевичи. Традиции щедрой земли / [автор концепции и текста А.М. Суворов]. – Брест: Полиграфика, 2011. – 131с.</w:t>
      </w:r>
    </w:p>
    <w:p w14:paraId="3C96527B" w14:textId="04124ECA" w:rsidR="0089679D" w:rsidRDefault="0089679D" w:rsidP="0089679D">
      <w:pPr>
        <w:pStyle w:val="8"/>
      </w:pPr>
      <w:r>
        <w:t>Памяць. Ганцевічцкі раён : Гісторыка-дакументальная хроніка / Кісялёў, Г.К. рэд ; Склад : К.К. Мохар ; Рэд. Калегія : Г.К. Кісялёў і інш.. – МН., 1999. – 474с.</w:t>
      </w:r>
    </w:p>
    <w:p w14:paraId="558123A4" w14:textId="77777777" w:rsidR="0089679D" w:rsidRDefault="0089679D" w:rsidP="00093C1D">
      <w:pPr>
        <w:pStyle w:val="12"/>
        <w:rPr>
          <w:lang w:val="ru-RU"/>
        </w:rPr>
      </w:pPr>
    </w:p>
    <w:p w14:paraId="274059D8"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577A5F28" w14:textId="77777777" w:rsidR="00093C1D" w:rsidRDefault="00093C1D" w:rsidP="00E25B19">
      <w:pPr>
        <w:spacing w:after="0" w:line="240" w:lineRule="auto"/>
        <w:jc w:val="both"/>
        <w:rPr>
          <w:rFonts w:ascii="Times New Roman" w:hAnsi="Times New Roman" w:cs="Times New Roman"/>
          <w:sz w:val="28"/>
          <w:szCs w:val="28"/>
          <w:lang w:val="be-BY"/>
        </w:rPr>
      </w:pPr>
    </w:p>
    <w:p w14:paraId="0CA168B6" w14:textId="77777777" w:rsidR="00093C1D" w:rsidRPr="00093C1D" w:rsidRDefault="00093C1D" w:rsidP="00E25B19">
      <w:pPr>
        <w:spacing w:after="0" w:line="240" w:lineRule="auto"/>
        <w:jc w:val="both"/>
        <w:rPr>
          <w:rFonts w:ascii="Times New Roman" w:hAnsi="Times New Roman" w:cs="Times New Roman"/>
          <w:sz w:val="28"/>
          <w:szCs w:val="28"/>
          <w:lang w:val="be-BY"/>
        </w:rPr>
      </w:pPr>
    </w:p>
    <w:p w14:paraId="0CF8317D" w14:textId="288F4C39" w:rsidR="006E70E2" w:rsidRDefault="006E70E2" w:rsidP="00E25B19">
      <w:pPr>
        <w:spacing w:after="0" w:line="240" w:lineRule="auto"/>
        <w:jc w:val="both"/>
        <w:rPr>
          <w:rFonts w:ascii="Times New Roman" w:hAnsi="Times New Roman" w:cs="Times New Roman"/>
          <w:sz w:val="28"/>
          <w:szCs w:val="28"/>
        </w:rPr>
      </w:pPr>
    </w:p>
    <w:p w14:paraId="118DA45D" w14:textId="77777777" w:rsidR="0089679D" w:rsidRDefault="0089679D" w:rsidP="008606D7">
      <w:pPr>
        <w:pStyle w:val="12"/>
      </w:pPr>
      <w:r>
        <w:lastRenderedPageBreak/>
        <w:t>УДК 947.6 «1944/1946»</w:t>
      </w:r>
    </w:p>
    <w:p w14:paraId="1E4F154E" w14:textId="171AAC6A" w:rsidR="008606D7" w:rsidRDefault="0089679D" w:rsidP="008606D7">
      <w:pPr>
        <w:pStyle w:val="14"/>
      </w:pPr>
      <w:bookmarkStart w:id="90" w:name="_Toc181894107"/>
      <w:r>
        <w:t>Т.И.</w:t>
      </w:r>
      <w:r w:rsidR="008606D7">
        <w:t xml:space="preserve"> </w:t>
      </w:r>
      <w:r>
        <w:t>БРИЛЕВА</w:t>
      </w:r>
      <w:bookmarkEnd w:id="90"/>
      <w:r>
        <w:t xml:space="preserve"> </w:t>
      </w:r>
    </w:p>
    <w:p w14:paraId="01E730E6" w14:textId="18DA4079" w:rsidR="0089679D" w:rsidRDefault="008606D7" w:rsidP="00896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Минск, БГУ</w:t>
      </w:r>
    </w:p>
    <w:p w14:paraId="1D4B9903" w14:textId="78F1EF44" w:rsidR="0089679D" w:rsidRDefault="0089679D" w:rsidP="008606D7">
      <w:pPr>
        <w:pStyle w:val="4"/>
      </w:pPr>
      <w:r>
        <w:t xml:space="preserve">Научный руководитель: А.Е.Веремейчик, </w:t>
      </w:r>
      <w:r w:rsidR="008606D7">
        <w:rPr>
          <w:lang w:val="ru-RU"/>
        </w:rPr>
        <w:t>к.и.н.</w:t>
      </w:r>
      <w:r>
        <w:t>, доцент</w:t>
      </w:r>
    </w:p>
    <w:p w14:paraId="7839B712" w14:textId="77777777" w:rsidR="0089679D" w:rsidRDefault="0089679D" w:rsidP="008606D7">
      <w:pPr>
        <w:pStyle w:val="7"/>
      </w:pPr>
    </w:p>
    <w:p w14:paraId="59311A1C" w14:textId="57CB2E23" w:rsidR="0089679D" w:rsidRDefault="0089679D" w:rsidP="008606D7">
      <w:pPr>
        <w:pStyle w:val="5"/>
      </w:pPr>
      <w:r>
        <w:t xml:space="preserve">ДЕЯТЕЛЬНОСТЬ ПОЛЬСКОГО ПОДПОЛЬЯ В ПЕРИОД ПЕРЕСЕЛЕНИЯ БЕЛОРУССКОГО НАСЕЛЕНИЯ </w:t>
      </w:r>
      <w:r w:rsidR="008606D7">
        <w:br/>
      </w:r>
      <w:r>
        <w:t>ИЗ ПОЛЬШИ В БЕЛОРУССКУЮ ССР (1944</w:t>
      </w:r>
      <w:r w:rsidR="008606D7">
        <w:t>–</w:t>
      </w:r>
      <w:r>
        <w:t xml:space="preserve">1946 </w:t>
      </w:r>
      <w:r w:rsidR="008606D7">
        <w:rPr>
          <w:caps w:val="0"/>
        </w:rPr>
        <w:t>гг</w:t>
      </w:r>
      <w:r>
        <w:t xml:space="preserve">.) </w:t>
      </w:r>
    </w:p>
    <w:p w14:paraId="4BC385A7" w14:textId="77777777" w:rsidR="0089679D" w:rsidRDefault="0089679D" w:rsidP="008606D7">
      <w:pPr>
        <w:pStyle w:val="7"/>
      </w:pPr>
    </w:p>
    <w:p w14:paraId="26EB3D93" w14:textId="77777777" w:rsidR="0089679D" w:rsidRPr="008606D7" w:rsidRDefault="0089679D" w:rsidP="008606D7">
      <w:pPr>
        <w:pStyle w:val="6"/>
      </w:pPr>
      <w:r w:rsidRPr="008606D7">
        <w:rPr>
          <w:rStyle w:val="60"/>
          <w:i/>
        </w:rPr>
        <w:t xml:space="preserve">В статье рассматривается проблема деятельности Армии Крайовой (АК) и иных бандитских группировок в период переселения белорусского населения из Польши в Белорусскую ССР в 1944-1946 гг. На основе архивных документов представлены факты о действии польского подполья по препятствию проведения возвращению белорусов из Польши в Белорусскую ССР.  В статье также затрагивается вопрос «эвакуации» поляков из Белорусской ССР в Польшу. Переселенческие акции использовались польским подпольем для поддержания авторитета польского эмигрантского правительства в г.Лондон и продвижению собственных интересов, </w:t>
      </w:r>
      <w:r w:rsidRPr="008606D7">
        <w:t xml:space="preserve">однако, предпринятые действия в данном направлении не увенчались успехом. </w:t>
      </w:r>
    </w:p>
    <w:p w14:paraId="29A5E514" w14:textId="77777777" w:rsidR="0089679D" w:rsidRDefault="0089679D" w:rsidP="008606D7">
      <w:pPr>
        <w:pStyle w:val="7"/>
      </w:pPr>
    </w:p>
    <w:p w14:paraId="5C51FE57" w14:textId="77777777" w:rsidR="0089679D" w:rsidRDefault="0089679D" w:rsidP="008606D7">
      <w:pPr>
        <w:pStyle w:val="7"/>
      </w:pPr>
      <w:r>
        <w:t xml:space="preserve">Установление советско-польской границы и проведение репатриации белорусского населения из Польши в Белорусскую ССР вызвало неоднозначную реакцию среди разнообразных политических центров, общественных организаций и населения. Польское эмигрантское правительство в г.Лондон и польское подполье, в числе которых была Армия Крайова (АК) и другие военные формирования, негативно отнеслось к установлению новой границы. В августе 1944 г. руководителями АК был приказано продолжать свою прежнюю деятельность, где особое внимание уделялось проведению агитационной работы среди выезжающего населения как из Польши, так и в Польшу [1, с.330]. </w:t>
      </w:r>
    </w:p>
    <w:p w14:paraId="509733C9" w14:textId="77777777" w:rsidR="0089679D" w:rsidRDefault="0089679D" w:rsidP="008606D7">
      <w:pPr>
        <w:pStyle w:val="7"/>
      </w:pPr>
      <w:r>
        <w:t xml:space="preserve">Бандитские группировки и АК всячески старались препятствовать проведению переселения белорусов, учиняя нападения на представителей по эвакуации с белорусской стороны. В частности, в ночь на 23 февраля 1945 г. было совершено нападение на заместителя райуполномоченного СНК БССР по эвакуации Бело-Подлясского повета и его секретаря. Претворившись сотрудниками Бело-Подлясской милиции, бандитская группировка численностью от 8 до 10 человек вломилась в дом и устроила стрельбу в доме, ранив заместителя райуполномоченного, и бросала гранаты. Сотрудники местной милиции отказались помогать в расследовании дела, сославшись на головные боли, после чего дело было передано для расследования в органы контрразведывательной организации СМЕРШ [2, л.46]. </w:t>
      </w:r>
    </w:p>
    <w:p w14:paraId="53AA7A3D" w14:textId="77777777" w:rsidR="0089679D" w:rsidRDefault="0089679D" w:rsidP="008606D7">
      <w:pPr>
        <w:pStyle w:val="7"/>
      </w:pPr>
      <w:r>
        <w:t xml:space="preserve">Формирования АК, бандитские группировки, а также люди, ярко выражавшие антисоветское настроение, проводили массовую </w:t>
      </w:r>
      <w:r>
        <w:lastRenderedPageBreak/>
        <w:t>агитационную работу. С их стороны внушались сомнения о правдивости представителей по эвакуации. Активно распространялись слухи о том, что прибывшие на места представители по эвакуации не из Белорусской ССР, а из Украинской ССР. В докладной записке Главного Уполномоченного СНК БССР по эвакуации И.Д.Варвашени заместителю Председателя СНК БССР и наркому иностранных дел БССР К.В.Киселеву в декабре 1944 г. приводилась следующая информация: «… учитель деревни Лука, Валиловского района – Чабак, по национальности поляк, во время занятий среди детей-белорусов заявил: “Скажите родителям, чтобы они не ехали в Белоруссию, так как на границе все забирают, а потом завезут и выбросят вас всех из вагонов” …». «…Житель деревни Ильяшук Вавиловского района – Харкевич Константин, бывший матрос русского флота, происходит из зажиточных крестьян, во время немецкой оккупации являлся старостой деревни, выдал немцам “неблагонадежных” крестьян. В настоящее время Харкевич враждебно настроен к советской власти, ведет агитацию против эвакуации. Посещает белорусские семьи и отговаривает их от выезда в Белоруссию …» [2, л.63-64].</w:t>
      </w:r>
    </w:p>
    <w:p w14:paraId="4E20564B" w14:textId="77777777" w:rsidR="0089679D" w:rsidRDefault="0089679D" w:rsidP="008606D7">
      <w:pPr>
        <w:pStyle w:val="7"/>
      </w:pPr>
      <w:r>
        <w:t xml:space="preserve">В большинстве случаев «мирные» агитационные работы превращались в избиение и грабежи белорусов. Зафиксирован случай в ноябре 1944 г. избиения белоруса управляющим имением и двумя солдатами со словами: «Довольно русским ходить по польской земле». В ночь с 22 на 23 ноября 1944 г. в д.Огородники Бельского района в дом семьи, подавшей заявление на эвакуацию, вломились бандиты в красноармейской форме. Приставив револьверы к членам семьи, они забрали продовольственные запасы и скрылись. В дальнейшем, бандиты были найдены и осуждены военно-полевым судом к высшей мере наказания – расстрелу [2, л.65]. В мае 1945 г. банда АК полностью сожгли д.Потоки Рыболовской гмины Бело-Подлясского уезда на 60 дворов. «… 27 июня банда АК до 100 человек с утра до вечера грабила и избивала белорусских граждан дер. Коньки …» [3, л.145]. </w:t>
      </w:r>
    </w:p>
    <w:p w14:paraId="499B56CF" w14:textId="77777777" w:rsidR="0089679D" w:rsidRDefault="0089679D" w:rsidP="008606D7">
      <w:pPr>
        <w:pStyle w:val="7"/>
      </w:pPr>
      <w:r>
        <w:t>У населения изымались продукты питания, одежда, ценные предметы и даже животных. Практиковалось также обложение денежными выплатами населения, которое записалось на выезд в Белорусскую ССР. В докладной записке по Бело-Подляскому уезду заместителю Председателя Совета Министров БССР К.В.Киселеву от 10 мая 1946 г. говорилось следующее: «… 15/</w:t>
      </w:r>
      <w:r>
        <w:rPr>
          <w:lang w:val="en-US"/>
        </w:rPr>
        <w:t>IV</w:t>
      </w:r>
      <w:r>
        <w:t>-46 отобрали лошадь с упряжью, контрибуции 3 тыс. рублей. 8/</w:t>
      </w:r>
      <w:r>
        <w:rPr>
          <w:lang w:val="en-US"/>
        </w:rPr>
        <w:t>V</w:t>
      </w:r>
      <w:r>
        <w:t>-46 г. часы будильник и одежду … 8/</w:t>
      </w:r>
      <w:r>
        <w:rPr>
          <w:lang w:val="en-US"/>
        </w:rPr>
        <w:t>III</w:t>
      </w:r>
      <w:r>
        <w:t>-45 г. отобрали велосипед, одежду, швейную машину 1/</w:t>
      </w:r>
      <w:r>
        <w:rPr>
          <w:lang w:val="en-US"/>
        </w:rPr>
        <w:t>I</w:t>
      </w:r>
      <w:r>
        <w:t xml:space="preserve">-46 г. контрибуция 2 тысячи злотых…» [4, л.58]. </w:t>
      </w:r>
    </w:p>
    <w:p w14:paraId="675E1BB0" w14:textId="77777777" w:rsidR="0089679D" w:rsidRDefault="0089679D" w:rsidP="008606D7">
      <w:pPr>
        <w:pStyle w:val="7"/>
      </w:pPr>
      <w:r>
        <w:t xml:space="preserve">Бандитские группировки также нападали и разгоняли представителей по эвакуации с советской стороны и местных польских властей, которые должны были осуществлять регистрацию на выезд. «… Деятельность этих </w:t>
      </w:r>
      <w:r>
        <w:lastRenderedPageBreak/>
        <w:t>банд весьма обширна и привела к ликвидации в настоящее время местных польских органов власти на значительной части территории Белостокского воеводства. Так, местные органы власти разогнаны бандитами в 11 гминах Сокулковского района из 12, в 5 гминах Белостокского района из 6, в 13 Бельского района и т.д. … », – говорилось в справке о ходе работы по эвакуации белорусского, русского и украинского населения из Польши в Белорусскую ССР [3, л.145].</w:t>
      </w:r>
    </w:p>
    <w:p w14:paraId="20591CA3" w14:textId="77777777" w:rsidR="0089679D" w:rsidRDefault="0089679D" w:rsidP="008606D7">
      <w:pPr>
        <w:pStyle w:val="7"/>
      </w:pPr>
      <w:r>
        <w:t xml:space="preserve">Местная польской администрация бездействовала, а также содействовала работе подпольных организаций: «… Органы местных Польских властей Староста уезда, гмины и милиция категорически запрещают эвакуирующимся продавать принадлежащее им недвижимое имущество (постройки), а также передавать своим родственникам …» [2, л.83]. Более того, они принимали участие в грабежах и утраивали насилие. </w:t>
      </w:r>
    </w:p>
    <w:p w14:paraId="15AC49B2" w14:textId="77777777" w:rsidR="0089679D" w:rsidRDefault="0089679D" w:rsidP="008606D7">
      <w:pPr>
        <w:pStyle w:val="7"/>
      </w:pPr>
      <w:r>
        <w:t xml:space="preserve">Кроме проведения агитационной работы, предпринимались действия по препятствию проведения эвакуации. В целях срыва отправления эшелонов с «эваконаселением» и задержания автомобилей с имуществом, вбивались гвозди в мосты, где ехал транспорт. Владельцы молотилок, мельниц объявляли бойкот эвакуируемым, отказывая им в обмоле зерна,  что также способствовало задержке отправления. В Домбровской гмине АК запретила белорусским детям посещать польские школы. В Сокулковском и Августовском районе бандитские группировки развесила объявления, чтобы не сдавали свой провиант, т.к. он шёл на нужды Красной Армии и НКВД. За срыв объявления полагалась смерть. </w:t>
      </w:r>
    </w:p>
    <w:p w14:paraId="0D93F926" w14:textId="77777777" w:rsidR="0089679D" w:rsidRDefault="0089679D" w:rsidP="008606D7">
      <w:pPr>
        <w:pStyle w:val="7"/>
      </w:pPr>
      <w:r>
        <w:t>Издевательство со стороны АК и бездействие польской администрации, безусловно, вызывало недовольство среди белорусов и подталкивало на переезд в Белорусскую ССР. Население, занимавшиеся сельскохозяйственными работами, было вынуждено убирать урожай и скрыто готовиться к выезду, чтобы избежать нападения со стороны бандитов. В пункт регистрации на выезд в Семятичском районе переселенцы обратились с просьбой перевезти их в Белорусскую ССР с охраной, т.к. боялись расправы АК и бандитов [5, л.6].</w:t>
      </w:r>
    </w:p>
    <w:p w14:paraId="00C9E539" w14:textId="77777777" w:rsidR="0089679D" w:rsidRDefault="0089679D" w:rsidP="008606D7">
      <w:pPr>
        <w:pStyle w:val="7"/>
      </w:pPr>
      <w:r>
        <w:t xml:space="preserve">Не оставалась без внимания также польское население, проживавшее на территории Белорусской ССР. В первый период проведения репатриации  заявлений на выезд от поляков поступало мало. Данное обстоятельство связано с тем, что Польский Комитет Национального Освобождения (ПКНО) не являлся официально признанным мировой общественностью, что вызывало недоверие со стороны польского населения. Польское эмигрантское правительство в г.Лондон тешилось надеждами о возможности возрождения польского государства в границах 1939 г. В ходе активной агитационной работы массово распространялся слух, что всех желающих выехать в Польшу будут вывозить в Сибирь и объявят врагами </w:t>
      </w:r>
      <w:r>
        <w:lastRenderedPageBreak/>
        <w:t xml:space="preserve">советской власти. Народ призывали уходить в лес, но не регистрироваться на выезд. </w:t>
      </w:r>
    </w:p>
    <w:p w14:paraId="5C6B7AF2" w14:textId="77777777" w:rsidR="0089679D" w:rsidRDefault="0089679D" w:rsidP="008606D7">
      <w:pPr>
        <w:pStyle w:val="7"/>
      </w:pPr>
      <w:r>
        <w:t xml:space="preserve">Ялтинская конференция окончательно поставила точку в решении вопроса, утвердив новую советско-польскую границу. Данный факт привел к тому, что во втором этапе репатриации в феврале–апреле 1945 г. агентура польского эмигрантского правительства переориентировалась на максимальную регистрацию поляков на выезд. Во внимание брались также белорусы, исповедовавшие католичество. Им также говорилось, что если они не переедут в Польшу, то их выселят на Урал. При выражении нежелания выезжать в Польшу использовалось запугивание о чем свидетельствуют заявления местных жителей: «… Если б мы знали, что после эвакуации нас не вывезут в Сибирь и не посадят в тюрьму, мы бы не выехали отсюда, а зарегистрировались потому, что нам угрожали расправой …». «… Я в Польшу ни за что не поеду, но прошу выдать мне справку, что я в комиссии записалась, так как все записавшиеся надо мною издеваются…» [3, л.97].  </w:t>
      </w:r>
    </w:p>
    <w:p w14:paraId="22587B72" w14:textId="77777777" w:rsidR="0089679D" w:rsidRDefault="0089679D" w:rsidP="008606D7">
      <w:pPr>
        <w:pStyle w:val="7"/>
      </w:pPr>
      <w:r>
        <w:t xml:space="preserve">Бесправные действия совершались польскими уполномоченными по эвакуации, которые без ведома советской стороны назначали людей, проводивших незаконную регистрацию на выезд в Польшу. Также они превышали свои должностные полномочия, угрожая местному населению.  Работники Ошмянского окружного Уполномоченно заявили народу: «…Кто откажется от эвакуации будет отправлен в Сибирь, на Урал и обязан платить в комиссию штраф». В Березе работник Уполномоченного по эвакуаци с польской стороны заявил гражданке, пришедшей выписаться из списка на выезд: «… Если откажетесь от эвакуации, то Вам будет плохо, не минуете здесь получить петлю» [3, л.101-102].  </w:t>
      </w:r>
    </w:p>
    <w:p w14:paraId="37848813" w14:textId="77777777" w:rsidR="0089679D" w:rsidRDefault="0089679D" w:rsidP="008606D7">
      <w:pPr>
        <w:pStyle w:val="7"/>
      </w:pPr>
      <w:r>
        <w:t xml:space="preserve">Красной Армией и органами НКВД задерживалось множество представителей польского подполья и лиц, препятствующих проведению переселения белорусов в Белорусскую ССР и польского населения в Польшу. Как правило, к АК и иным бандитским группировкам присоединялись не только сторонники польского эмигрантского правительства в г.Лондон и польские военнослужащие, но и те, кто в годы Великой Отечественной войны сотрудничали с оккупантами, состояли на службе у немцев, а также население, имевшее ярко выраженное антисоветское настроение. Помимо ликвидации Красной Армией формирований АК и бандитских группировок со стороны белорусского правительства предпринимались действия по опровержению ложной информации: высылалась специальная литература, печатались листовки, проводились агитационные собрания, демонстрировались короткометражное кино о жизни в Советском Союзе. Предпринимались все возможные действия по устройству переселенцев на местах пребывания. </w:t>
      </w:r>
    </w:p>
    <w:p w14:paraId="72651B90" w14:textId="77777777" w:rsidR="0089679D" w:rsidRDefault="0089679D" w:rsidP="008606D7">
      <w:pPr>
        <w:pStyle w:val="7"/>
      </w:pPr>
      <w:r>
        <w:lastRenderedPageBreak/>
        <w:t xml:space="preserve">Таким образом, в период с 1944 по 1947 гг. польским подполем проводились различные акции по препятствию возвращению белорусского населения в Белорусскую ССР. Действия подпольных организаций зависели от политики и указаний польского эмигрантского правительства в г.Лондон. Подпольными силами активно проводилась агитационная работа среди населения, записавшегося на выезд в Белорусскую ССР. В целях устрашения предпринимались нападения и грабежи. Диверсионная работа проводилась также и с польским населением, проживающим в Белорусской ССР. Тем не менее, переселение белорусов из Польши в Белорусскую ССР и поляков из Белорусской ССР в Польшу происходило несмотря на действия политических кругов и сил, не согласных с установлением новой советско-польской границы и советской политикой. </w:t>
      </w:r>
    </w:p>
    <w:p w14:paraId="2BDF5B46" w14:textId="77777777" w:rsidR="0089679D" w:rsidRDefault="0089679D" w:rsidP="0089679D">
      <w:pPr>
        <w:spacing w:after="0" w:line="240" w:lineRule="auto"/>
        <w:ind w:firstLine="709"/>
        <w:jc w:val="both"/>
        <w:rPr>
          <w:rFonts w:ascii="Times New Roman" w:hAnsi="Times New Roman" w:cs="Times New Roman"/>
          <w:sz w:val="28"/>
          <w:szCs w:val="28"/>
        </w:rPr>
      </w:pPr>
    </w:p>
    <w:p w14:paraId="31B9BA76" w14:textId="77777777" w:rsidR="009A66FB" w:rsidRDefault="009A66FB" w:rsidP="0089679D">
      <w:pPr>
        <w:spacing w:after="0" w:line="240" w:lineRule="auto"/>
        <w:ind w:firstLine="709"/>
        <w:jc w:val="both"/>
        <w:rPr>
          <w:rFonts w:ascii="Times New Roman" w:hAnsi="Times New Roman" w:cs="Times New Roman"/>
          <w:sz w:val="28"/>
          <w:szCs w:val="28"/>
        </w:rPr>
      </w:pPr>
    </w:p>
    <w:p w14:paraId="32BD5EED" w14:textId="77777777" w:rsidR="0089679D" w:rsidRDefault="0089679D" w:rsidP="006F6A4F">
      <w:pPr>
        <w:pStyle w:val="8"/>
        <w:numPr>
          <w:ilvl w:val="0"/>
          <w:numId w:val="28"/>
        </w:numPr>
        <w:ind w:left="0" w:firstLine="709"/>
      </w:pPr>
      <w:r>
        <w:t xml:space="preserve">Барабаш, В.В. Деятельность польского подполья в начальный период репатриации населения Западной Беларуси (вторая половина 1944 – середина 1945 г.) / В.В. Барабаш // Культура, наука, образование в современном мире : материалы V Международной научной конференции / Гродненский государственный аграрный университет. – Гродно : ГГАУ, 2011. – С. 330–336. </w:t>
      </w:r>
    </w:p>
    <w:p w14:paraId="25EF836A" w14:textId="77777777" w:rsidR="0089679D" w:rsidRDefault="0089679D" w:rsidP="006F6A4F">
      <w:pPr>
        <w:pStyle w:val="8"/>
        <w:numPr>
          <w:ilvl w:val="0"/>
          <w:numId w:val="28"/>
        </w:numPr>
        <w:ind w:left="0" w:firstLine="709"/>
      </w:pPr>
      <w:r>
        <w:t xml:space="preserve">Национальный архив Республики Беларусь – Фонд 7. – Оп. 3. Д.1905. </w:t>
      </w:r>
    </w:p>
    <w:p w14:paraId="709140C3" w14:textId="77777777" w:rsidR="0089679D" w:rsidRDefault="0089679D" w:rsidP="006F6A4F">
      <w:pPr>
        <w:pStyle w:val="8"/>
        <w:numPr>
          <w:ilvl w:val="0"/>
          <w:numId w:val="28"/>
        </w:numPr>
        <w:ind w:left="0" w:firstLine="709"/>
      </w:pPr>
      <w:r>
        <w:t>НАРБ – Фонд 7. – Оп. 3. Д. 1916.</w:t>
      </w:r>
    </w:p>
    <w:p w14:paraId="0F6E6F14" w14:textId="77777777" w:rsidR="0089679D" w:rsidRDefault="0089679D" w:rsidP="006F6A4F">
      <w:pPr>
        <w:pStyle w:val="8"/>
        <w:numPr>
          <w:ilvl w:val="0"/>
          <w:numId w:val="28"/>
        </w:numPr>
        <w:ind w:left="0" w:firstLine="709"/>
      </w:pPr>
      <w:r>
        <w:t>НАРБ – Фонд 7. – Оп. 3. Д. 1922.</w:t>
      </w:r>
    </w:p>
    <w:p w14:paraId="1AA81E05" w14:textId="77777777" w:rsidR="0089679D" w:rsidRDefault="0089679D" w:rsidP="006F6A4F">
      <w:pPr>
        <w:pStyle w:val="8"/>
        <w:numPr>
          <w:ilvl w:val="0"/>
          <w:numId w:val="28"/>
        </w:numPr>
        <w:ind w:left="0" w:firstLine="709"/>
      </w:pPr>
      <w:r>
        <w:t>НАРБ – Фонд 7. – Оп. 3. Д. 1924.</w:t>
      </w:r>
    </w:p>
    <w:p w14:paraId="7A3FCF71" w14:textId="77777777" w:rsidR="0089679D" w:rsidRDefault="0089679D" w:rsidP="00CC135B">
      <w:pPr>
        <w:spacing w:after="0" w:line="240" w:lineRule="auto"/>
        <w:ind w:firstLine="709"/>
        <w:jc w:val="both"/>
        <w:rPr>
          <w:rFonts w:ascii="Times New Roman" w:hAnsi="Times New Roman" w:cs="Times New Roman"/>
          <w:sz w:val="28"/>
          <w:szCs w:val="28"/>
        </w:rPr>
      </w:pPr>
    </w:p>
    <w:p w14:paraId="121F0210" w14:textId="77777777" w:rsidR="00B549A3" w:rsidRPr="00B549A3" w:rsidRDefault="00B549A3" w:rsidP="00093C1D">
      <w:pPr>
        <w:spacing w:after="0" w:line="240" w:lineRule="auto"/>
        <w:ind w:firstLine="709"/>
        <w:jc w:val="both"/>
        <w:rPr>
          <w:rFonts w:ascii="Times New Roman" w:hAnsi="Times New Roman" w:cs="Times New Roman"/>
          <w:sz w:val="28"/>
          <w:szCs w:val="28"/>
          <w:lang w:val="be-BY"/>
        </w:rPr>
      </w:pPr>
    </w:p>
    <w:p w14:paraId="0BBB3080"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77EAE055" w14:textId="77777777" w:rsidR="00B549A3" w:rsidRDefault="00B549A3" w:rsidP="00093C1D">
      <w:pPr>
        <w:spacing w:after="0" w:line="240" w:lineRule="auto"/>
        <w:rPr>
          <w:rFonts w:ascii="Times New Roman" w:hAnsi="Times New Roman" w:cs="Times New Roman"/>
          <w:sz w:val="28"/>
          <w:szCs w:val="28"/>
          <w:lang w:val="be-BY"/>
        </w:rPr>
      </w:pPr>
    </w:p>
    <w:p w14:paraId="08AD10DF" w14:textId="77777777" w:rsidR="00B549A3" w:rsidRDefault="00B549A3" w:rsidP="00093C1D">
      <w:pPr>
        <w:spacing w:after="0" w:line="240" w:lineRule="auto"/>
        <w:rPr>
          <w:rFonts w:ascii="Times New Roman" w:hAnsi="Times New Roman" w:cs="Times New Roman"/>
          <w:sz w:val="28"/>
          <w:szCs w:val="28"/>
          <w:lang w:val="be-BY"/>
        </w:rPr>
      </w:pPr>
    </w:p>
    <w:p w14:paraId="3D3305A7" w14:textId="77777777" w:rsidR="009A66FB" w:rsidRDefault="009A66FB" w:rsidP="00093C1D">
      <w:pPr>
        <w:spacing w:after="0" w:line="240" w:lineRule="auto"/>
        <w:rPr>
          <w:rFonts w:ascii="Times New Roman" w:hAnsi="Times New Roman" w:cs="Times New Roman"/>
          <w:sz w:val="28"/>
          <w:szCs w:val="28"/>
          <w:lang w:val="be-BY"/>
        </w:rPr>
      </w:pPr>
    </w:p>
    <w:p w14:paraId="44447E0F" w14:textId="574E36F3" w:rsidR="0005467F" w:rsidRPr="003B5B5B" w:rsidRDefault="0005467F" w:rsidP="0005467F">
      <w:pPr>
        <w:pStyle w:val="12"/>
        <w:rPr>
          <w:lang w:val="ru-RU"/>
        </w:rPr>
      </w:pPr>
      <w:r>
        <w:t>УДК</w:t>
      </w:r>
      <w:r w:rsidR="003B5B5B">
        <w:rPr>
          <w:lang w:val="ru-RU"/>
        </w:rPr>
        <w:t xml:space="preserve"> 94(476)</w:t>
      </w:r>
    </w:p>
    <w:p w14:paraId="34299F03" w14:textId="2C75F42B" w:rsidR="0005467F" w:rsidRDefault="0005467F" w:rsidP="0005467F">
      <w:pPr>
        <w:pStyle w:val="14"/>
      </w:pPr>
      <w:bookmarkStart w:id="91" w:name="_Toc181894108"/>
      <w:r>
        <w:t>А.А. САРАПИН</w:t>
      </w:r>
      <w:bookmarkEnd w:id="91"/>
    </w:p>
    <w:p w14:paraId="12A4E4D6" w14:textId="78229C18" w:rsidR="0005467F" w:rsidRPr="0005467F" w:rsidRDefault="0005467F" w:rsidP="0005467F">
      <w:pPr>
        <w:pStyle w:val="3"/>
        <w:rPr>
          <w:lang w:val="be-BY"/>
        </w:rPr>
      </w:pPr>
      <w:r>
        <w:rPr>
          <w:lang w:val="be-BY"/>
        </w:rPr>
        <w:t xml:space="preserve">Брест, </w:t>
      </w:r>
      <w:r>
        <w:t>БрГУ имени А.С. Пушкина</w:t>
      </w:r>
    </w:p>
    <w:p w14:paraId="5AEBA1FC" w14:textId="0770E161" w:rsidR="0005467F" w:rsidRPr="0005467F" w:rsidRDefault="0005467F" w:rsidP="0005467F">
      <w:pPr>
        <w:spacing w:after="0" w:line="240" w:lineRule="auto"/>
        <w:ind w:firstLine="720"/>
        <w:jc w:val="both"/>
        <w:rPr>
          <w:rFonts w:ascii="Times New Roman" w:hAnsi="Times New Roman" w:cs="Times New Roman"/>
          <w:i/>
          <w:iCs/>
          <w:sz w:val="28"/>
          <w:szCs w:val="28"/>
          <w:lang w:val="be-BY"/>
        </w:rPr>
      </w:pPr>
      <w:r>
        <w:rPr>
          <w:rFonts w:ascii="Times New Roman" w:hAnsi="Times New Roman" w:cs="Times New Roman"/>
          <w:i/>
          <w:iCs/>
          <w:sz w:val="28"/>
          <w:szCs w:val="28"/>
        </w:rPr>
        <w:t>Научный руководитель: Е.С. Розенблат, к.и.н.</w:t>
      </w:r>
      <w:r>
        <w:rPr>
          <w:rFonts w:ascii="Times New Roman" w:hAnsi="Times New Roman" w:cs="Times New Roman"/>
          <w:i/>
          <w:iCs/>
          <w:sz w:val="28"/>
          <w:szCs w:val="28"/>
          <w:lang w:val="be-BY"/>
        </w:rPr>
        <w:t>,</w:t>
      </w:r>
      <w:r w:rsidRPr="0005467F">
        <w:rPr>
          <w:rFonts w:ascii="Times New Roman" w:hAnsi="Times New Roman" w:cs="Times New Roman"/>
          <w:i/>
          <w:iCs/>
          <w:sz w:val="28"/>
          <w:szCs w:val="28"/>
        </w:rPr>
        <w:t xml:space="preserve"> </w:t>
      </w:r>
      <w:r>
        <w:rPr>
          <w:rFonts w:ascii="Times New Roman" w:hAnsi="Times New Roman" w:cs="Times New Roman"/>
          <w:i/>
          <w:iCs/>
          <w:sz w:val="28"/>
          <w:szCs w:val="28"/>
        </w:rPr>
        <w:t>доцент</w:t>
      </w:r>
    </w:p>
    <w:p w14:paraId="1CB21BE3" w14:textId="77777777" w:rsidR="0005467F" w:rsidRDefault="0005467F" w:rsidP="0005467F">
      <w:pPr>
        <w:spacing w:after="0" w:line="240" w:lineRule="auto"/>
        <w:ind w:firstLine="720"/>
        <w:jc w:val="both"/>
        <w:rPr>
          <w:rFonts w:ascii="Times New Roman" w:hAnsi="Times New Roman" w:cs="Times New Roman"/>
          <w:sz w:val="28"/>
          <w:szCs w:val="28"/>
        </w:rPr>
      </w:pPr>
    </w:p>
    <w:p w14:paraId="77E4970C" w14:textId="77777777" w:rsidR="0005467F" w:rsidRDefault="0005467F" w:rsidP="0005467F">
      <w:pPr>
        <w:pStyle w:val="5"/>
      </w:pPr>
      <w:r>
        <w:t>Евреи-«восточники» – феномен дважды изгоев</w:t>
      </w:r>
    </w:p>
    <w:p w14:paraId="1783A16C" w14:textId="77777777" w:rsidR="0005467F" w:rsidRDefault="0005467F" w:rsidP="0005467F">
      <w:pPr>
        <w:spacing w:after="0" w:line="240" w:lineRule="auto"/>
        <w:ind w:firstLine="720"/>
        <w:jc w:val="both"/>
        <w:rPr>
          <w:rFonts w:ascii="Times New Roman" w:hAnsi="Times New Roman" w:cs="Times New Roman"/>
          <w:sz w:val="28"/>
          <w:szCs w:val="28"/>
        </w:rPr>
      </w:pPr>
    </w:p>
    <w:p w14:paraId="2FD45BAA" w14:textId="77777777" w:rsidR="0005467F" w:rsidRDefault="0005467F" w:rsidP="0005467F">
      <w:pPr>
        <w:pStyle w:val="6"/>
      </w:pPr>
      <w:r>
        <w:t>В статье говориться о еврейской общине на территории Беларуси, о особенностях евреев Востока и Запада Беларуси, о «восточниках», о личных взаимоотношениях и о политике СССР по отношению к евреям, о геноциде, гетто и холокосте, о причинах разногласий евреев внутри гетто.</w:t>
      </w:r>
    </w:p>
    <w:p w14:paraId="00CD61C7" w14:textId="77777777" w:rsidR="0005467F" w:rsidRDefault="0005467F" w:rsidP="0005467F">
      <w:pPr>
        <w:spacing w:after="0" w:line="240" w:lineRule="auto"/>
        <w:ind w:firstLine="720"/>
        <w:jc w:val="both"/>
        <w:rPr>
          <w:rFonts w:ascii="Times New Roman" w:hAnsi="Times New Roman" w:cs="Times New Roman"/>
          <w:sz w:val="28"/>
          <w:szCs w:val="28"/>
        </w:rPr>
      </w:pPr>
    </w:p>
    <w:p w14:paraId="622CBAAD" w14:textId="77777777" w:rsidR="0005467F" w:rsidRDefault="0005467F" w:rsidP="0005467F">
      <w:pPr>
        <w:pStyle w:val="7"/>
      </w:pPr>
      <w:r>
        <w:t xml:space="preserve">История Беларуси насчитывает немало столетий, и не меньше столетий на её территории проживают евреи. Первые евреи на этих землях </w:t>
      </w:r>
      <w:r>
        <w:lastRenderedPageBreak/>
        <w:t xml:space="preserve">появились в </w:t>
      </w:r>
      <w:r>
        <w:rPr>
          <w:lang w:val="en-US"/>
        </w:rPr>
        <w:t>XII</w:t>
      </w:r>
      <w:r>
        <w:t>–</w:t>
      </w:r>
      <w:r>
        <w:rPr>
          <w:lang w:val="en-US"/>
        </w:rPr>
        <w:t>XIV</w:t>
      </w:r>
      <w:r w:rsidRPr="0097408C">
        <w:t xml:space="preserve"> </w:t>
      </w:r>
      <w:r>
        <w:t>веках, как переселенцы с запада, из Германии и Чехии. Законодательно еврейские общины были закреплены в период княжения князя Витова, привилеями от 1388-89 годов он даровал евреям Бреста и Гродно, право на широкую автономию, обеспечивал свободу вероисповедания и торговли, превращая их в сословие свободных людей. [3, с. 3]</w:t>
      </w:r>
    </w:p>
    <w:p w14:paraId="69025F34" w14:textId="77777777" w:rsidR="0005467F" w:rsidRDefault="0005467F" w:rsidP="0005467F">
      <w:pPr>
        <w:pStyle w:val="7"/>
      </w:pPr>
      <w:r>
        <w:t>Сквозь века, положение евреев в государстве изменялось. Но диаспора евреев в Беларуси постоянно росла и расширялась. Часть евреев переселялась на восток, часть оставалась в уже ставших традиционными общинах Бреста, Гродно, Лиды, Пинска и Кобрина. [3, с. 4</w:t>
      </w:r>
    </w:p>
    <w:p w14:paraId="1B0B49D3" w14:textId="77777777" w:rsidR="0005467F" w:rsidRDefault="0005467F" w:rsidP="0005467F">
      <w:pPr>
        <w:pStyle w:val="7"/>
      </w:pPr>
      <w:r>
        <w:t>После Первой мировой войны евреи Беларуси были разделены, так как часть территорий, по Рижскому мирному договору 18 марта 1921 года, отошла Польше, как Восточные Окраины, часть была преобразована в БССР. [3, с. 6]</w:t>
      </w:r>
    </w:p>
    <w:p w14:paraId="1B1BE7C4" w14:textId="77777777" w:rsidR="0005467F" w:rsidRDefault="0005467F" w:rsidP="0005467F">
      <w:pPr>
        <w:pStyle w:val="7"/>
      </w:pPr>
      <w:r>
        <w:t>Советский союз, как и БССР – декларировали себя как светское государство, основывающихся на принципах атеизма, евреи СССР постепенно начали отдаляться от западных. Так же на востоке общины и семьи евреев дробились, многие молодые евреи в поисках лучшей жизни, забрасывали родовое ремесло и уходили, к примеру в армию или учится, где и оставались. Традиционные связи евреев востока ослабли, во многом из-за того, что их заставили отказываться от иудаизма, который и был хранителем культурной идентичности и самосознания еврейского народа. Постепенная русификация и белорусизация, вынудила евреев общаться на каком-нибудь языке кроме идиша (в такой культурной среде как школа, университет, работа, армия). И попав в другую культурную среду, евреи без общины начали ассимилироваться. В отличие от западного еврейства.</w:t>
      </w:r>
    </w:p>
    <w:p w14:paraId="189701F4" w14:textId="77777777" w:rsidR="0005467F" w:rsidRDefault="0005467F" w:rsidP="0005467F">
      <w:pPr>
        <w:pStyle w:val="7"/>
      </w:pPr>
      <w:r>
        <w:t xml:space="preserve">В Восточных Окраинах евреи оставались столь же замкнутым сообществом. Польское государство не помогало евреям, но и не мешало. Это способствовало замыканию общины. Еврейские дети учились в своих школах – хедер. Работали в своих семейных мастерских. Ходили в синагогу, проповедовали раввины. Действовали различные еврейские организации: общественные, по здравоохранению, просветительские и многие другие. </w:t>
      </w:r>
    </w:p>
    <w:p w14:paraId="7432A682" w14:textId="77777777" w:rsidR="0005467F" w:rsidRDefault="0005467F" w:rsidP="0005467F">
      <w:pPr>
        <w:pStyle w:val="7"/>
      </w:pPr>
      <w:r>
        <w:t>Так же её большей замкнутости общины, способствует развитие антисемитских настроений в самой Польше, результатом чего стали погромы второй половины 1930-х годов. [2, с. 58] Эти события заставляли евреев ещё сильнее держаться вместе. Как гласит поговорка тех времён: «Один еврей – мёртвый еврей».  Поэтому во многом сплоченность и традиционность еврейских общин Западной Беларуси, была вынужденной необходимостью, ответом реальности. [3, с. 15]</w:t>
      </w:r>
    </w:p>
    <w:p w14:paraId="562AC442" w14:textId="77777777" w:rsidR="0005467F" w:rsidRDefault="0005467F" w:rsidP="0005467F">
      <w:pPr>
        <w:pStyle w:val="7"/>
      </w:pPr>
      <w:r>
        <w:t xml:space="preserve">Но 1-го сентября 1939 года началась Вторая мировая война, миру в Польше пришёл конец. 17 сентября 1939 года – РККА начала </w:t>
      </w:r>
      <w:r>
        <w:lastRenderedPageBreak/>
        <w:t>освободительный поход в Западную Беларусь и Западную Украину. Уже 21 сентября 1939 года в Бресте прошёл совместный парад советско-немецких войск. И Западные территории Беларуси и Украины, отошли в зону влияния СССР. Через время 14 ноября 1939 года Западная Беларусь, была официально принята в БССР. [2, с. 64]</w:t>
      </w:r>
    </w:p>
    <w:p w14:paraId="41B7FBB5" w14:textId="77777777" w:rsidR="0005467F" w:rsidRDefault="0005467F" w:rsidP="0005467F">
      <w:pPr>
        <w:pStyle w:val="7"/>
      </w:pPr>
      <w:r>
        <w:t>Тут начинается история «восточников» – это граждане СССР и БССР, командированные на территорию Западной Беларуси и Западной Украины, после 17 сентября 1939 года. Они являлись привилегированной прослойкой общества на присоединённых территориях, так как занимали большинство рабочих мест в государственном аппарате (облисполком, горисполком), в органах НКВД, УНКГБ, милиции, армии, в структуре железнодорожного транспорта, медицине, образовании, связи и в ряде других сфер. «Восточники» являлись «рупором» политики советизации на территориях Западной Беларуси и Украины. Они выполняли план ВКП(б) по интеграции местного населения в ряды советского общества, создавали учебные заведения, больницы, занимались коллективизацией и индустриализацией, также уничтожали очаги сопротивления и инакомыслия в среде польской интеллигенции и буржуазии. Многие командированные были рабочими заводов, пекарен, специалисты в сельском хозяйстве, архитекторы, строители. Из-за того, что советская власть не доверяла местным, она пыталась в некоторых отраслях разбавить их, а в некоторых полностью заместить. Так же к «восточникам» относились семьи, прибывшие в след за переселенцами. Большинство семей были крупными по 4-5 детей в среднем. Гарнизоны солдат-срочников не считались населением города, поэтому в состав «восточников» их относить нельзя, так как часть из них была местными новобранцами, вторая часть была представлена выходцами из СССР, которые по окончанию несения службы возвращалась на родину.</w:t>
      </w:r>
    </w:p>
    <w:p w14:paraId="4A401F87" w14:textId="77777777" w:rsidR="0005467F" w:rsidRDefault="0005467F" w:rsidP="0005467F">
      <w:pPr>
        <w:pStyle w:val="7"/>
      </w:pPr>
      <w:r>
        <w:t xml:space="preserve">Были среди «восточников» и евреи. Процентное количество отличалось, но на примере списка членов ВКП(б) и комсомольцев по Бресту, в количестве 1786 человек, было представлено: русские – 46%, белорусы – 29%, евреи – 11%, украинцы – 8%, чуваши, поляки, немцы, армяне, греки, татары, латыши, литовцы, караимы – 6% от общего числа прибывших. [1, с. 16] </w:t>
      </w:r>
    </w:p>
    <w:p w14:paraId="1906508B" w14:textId="77777777" w:rsidR="0005467F" w:rsidRDefault="0005467F" w:rsidP="0005467F">
      <w:pPr>
        <w:pStyle w:val="7"/>
      </w:pPr>
      <w:r>
        <w:t>Советская власть действовала, деликатно оправляя на работу на Новые территории «агитбригады», заранее выстраивала маршрут и тщательно подбирала команду. Если маршрут пролегал через еврейские местечки, основу команды составляли советские евреи, которые хоть уже и сильно отличались от местных, но были всяко ближе нежели другие национальности. [2, с. 83]</w:t>
      </w:r>
    </w:p>
    <w:p w14:paraId="224C9773" w14:textId="77777777" w:rsidR="0005467F" w:rsidRDefault="0005467F" w:rsidP="0005467F">
      <w:pPr>
        <w:pStyle w:val="7"/>
      </w:pPr>
      <w:r>
        <w:t xml:space="preserve">Среди местных евреев коммунистов, членов КПП и КПЗБ, было не мало, однако руководство Советского Союза с настороженностью </w:t>
      </w:r>
      <w:r>
        <w:lastRenderedPageBreak/>
        <w:t>относилось к ним. Как декларировал СНК СССР в октябре 1939 года: «бывших членов КПЗБ принимать в партию не огульно, а в индивидуальном порядке после тщательной и неторопливой проверки». После этого указа ВКП(б) занялось пересмотром дел, уже поступивших на службу. Здесь уместно привести пример, бюро Брестского обкома, которое отказало в переводе кандидатуры И. Липшица в члены ВКП(б), обвинив его в связи с «троцкистской ячейкой». [2, с. 46] Всё это явно не способствовало интеграции «восточников» в местное сообщество.</w:t>
      </w:r>
    </w:p>
    <w:p w14:paraId="6F5ADE08" w14:textId="77777777" w:rsidR="0005467F" w:rsidRDefault="0005467F" w:rsidP="0005467F">
      <w:pPr>
        <w:pStyle w:val="7"/>
      </w:pPr>
      <w:r>
        <w:t>Между местными евреями и «восточниками» возникали конфликты, на религиозной почве, языковой, культурной, экономической и личной. И хоть в целом для евреев приход советской власти был «меньшим злом», осадок накапливался. [2, с. 62] На распространенность среди местного еврейского населения антисоветских настроений указывают сводки НКВД БССР, которые готовились накануне выборов депутатов в Народное Собрание. В Кобрине 17 октября 1939 г. сын крупного купца Шломо Юдель, на предвыборном собрании среди еврейского населения заявлял: «нам, евреям, при польском правительстве жилось плохо и от советской власти жизнь наша не улучшилась, разницы нет никакой, раньше была полиция, а теперь милиция, только название сменилось, стоит ли голосовать-то…»  [2, с. 64]</w:t>
      </w:r>
    </w:p>
    <w:p w14:paraId="0C04CF26" w14:textId="77777777" w:rsidR="0005467F" w:rsidRDefault="0005467F" w:rsidP="0005467F">
      <w:pPr>
        <w:pStyle w:val="7"/>
      </w:pPr>
      <w:r>
        <w:t>Осенью 1940 года советская власть изменила национальную политику, «простив» поляков, допустив их в органы местного управления, где они потеснили местных евреев, чему те были крайне недовольны. [2, с. 65]</w:t>
      </w:r>
    </w:p>
    <w:p w14:paraId="2F8B8A32" w14:textId="77777777" w:rsidR="0005467F" w:rsidRDefault="0005467F" w:rsidP="0005467F">
      <w:pPr>
        <w:pStyle w:val="7"/>
      </w:pPr>
      <w:r>
        <w:t>Так же не способствовало популяризации в обществе «восточников», тот факт, что советское руководство, часто присылала на место опытного управленца, часто менее опытного, лишь бы заменить местного. [2, с. 83] Так же отмечается, что к 1941 году – социальная группа «восточников» начинает замыкаться в себе. Восточные евреи, всё чаще предпочитают компанию советских граждан, нежели местных евреев, в силу социальной и культурной разобщённости. [2, с. 84]</w:t>
      </w:r>
    </w:p>
    <w:p w14:paraId="17416C25" w14:textId="77777777" w:rsidR="0005467F" w:rsidRDefault="0005467F" w:rsidP="0005467F">
      <w:pPr>
        <w:pStyle w:val="7"/>
      </w:pPr>
      <w:r>
        <w:t>Всё это сыграет злую шутку в годы оккупации. Отдалённость евреев-«восточников», обиды, которые затаило местное еврейство на советскую власть, они никуда не исчезнут. После оккупации, немцев в меньшей степени будет интересовать еврей с востока или запада, для них еврей – враг, в независимости от вероисповедания, статуса и места рождения.</w:t>
      </w:r>
    </w:p>
    <w:p w14:paraId="43DE81F6" w14:textId="77777777" w:rsidR="0005467F" w:rsidRDefault="0005467F" w:rsidP="0005467F">
      <w:pPr>
        <w:pStyle w:val="7"/>
      </w:pPr>
      <w:r>
        <w:t xml:space="preserve">Во время немецкой оккупации, до создания еврейских гетто, евреи жили разобщённо. «Восточники» жили более компактно, в центрах городов и местечек, вдоль железных дорог и у инфраструктурных объектов и предприятий. Ещё до начала войны, немецкое командование, при помощи разведки оформила «проскрипции», в которых значились советские </w:t>
      </w:r>
      <w:r>
        <w:lastRenderedPageBreak/>
        <w:t>активисты, руководители партийных организаций и комсомольцы – в основном «восточники». Они стали первой целью, как самый опасный контингент. Не мало среди них было и евреев. К примеру, в Бресте 22 июня 1941 года, расстреляли главу областного коммунального банка Ю. Голдю, главу финансового управления обкома М. Н. Левана, главу горздрава К. П. Рехсона и многих других. [3, с. 22]</w:t>
      </w:r>
    </w:p>
    <w:p w14:paraId="4A2C8EE3" w14:textId="77777777" w:rsidR="0005467F" w:rsidRDefault="0005467F" w:rsidP="0005467F">
      <w:pPr>
        <w:pStyle w:val="7"/>
      </w:pPr>
      <w:r>
        <w:t xml:space="preserve">Семьи активистов боялись доносительства, так как это были не единичными случаями. Зафиксированы даже факты доносительства евреев на «восточников» в Ломже и Бресте. [2, с. 96] Жизнь в страхе для «восточников» продолжалась до конца оккупации.  </w:t>
      </w:r>
    </w:p>
    <w:p w14:paraId="2A72701C" w14:textId="77777777" w:rsidR="0005467F" w:rsidRDefault="0005467F" w:rsidP="0005467F">
      <w:pPr>
        <w:pStyle w:val="7"/>
      </w:pPr>
      <w:r>
        <w:t xml:space="preserve">Что же касается евреев-«восточников» их ждала немного другая судьба. К концу декабря 1941 года – всех лиц еврейской национальности, переселили в гетто. Где они были заперты и управлялись согласно установленным правилам. Всех ждала одна судьба – ликвидация. Но отношения внутри гетто к «восточникам» практически не изменилось. </w:t>
      </w:r>
    </w:p>
    <w:p w14:paraId="0343AD41" w14:textId="77777777" w:rsidR="0005467F" w:rsidRDefault="0005467F" w:rsidP="0005467F">
      <w:pPr>
        <w:pStyle w:val="7"/>
      </w:pPr>
      <w:r>
        <w:t>Далее со слов Романа Леина, выжившего в Брестском гетто мальчика, чья семья переехала в Брест из Харькова в 1940 году. «Соседи по нашей кухне ели кошерную пищу. А мы ели что придётся, что я приносил. Мы, конечно, питались плохо, голодали. В нашей квартире жили религиозные люди – «западники». Они отмежевались от нас.» [4, с. 24]</w:t>
      </w:r>
    </w:p>
    <w:p w14:paraId="565A4A3D" w14:textId="77777777" w:rsidR="0005467F" w:rsidRDefault="0005467F" w:rsidP="0005467F">
      <w:pPr>
        <w:pStyle w:val="7"/>
      </w:pPr>
      <w:r>
        <w:t xml:space="preserve">«Друзей у меня не было, я один бродил по гетто. Когда я заходил топить печки по субботам, в студёных комнатах сидели местные мальчики. Они никогда не вступали со мной в разговор.» </w:t>
      </w:r>
      <w:bookmarkStart w:id="92" w:name="_Hlk167019755"/>
      <w:r>
        <w:t>[4, с. 29]</w:t>
      </w:r>
      <w:bookmarkEnd w:id="92"/>
    </w:p>
    <w:p w14:paraId="60DEE5C5" w14:textId="77777777" w:rsidR="0005467F" w:rsidRDefault="0005467F" w:rsidP="0005467F">
      <w:pPr>
        <w:pStyle w:val="7"/>
      </w:pPr>
      <w:r>
        <w:t>«Во взаимоотношениях была определённая дистанция. Увы, это проявлялось и тогда, когда дискриминация по национальности уровняла всех.» [4, с. 31]</w:t>
      </w:r>
    </w:p>
    <w:p w14:paraId="62219EB7" w14:textId="77777777" w:rsidR="0005467F" w:rsidRDefault="0005467F" w:rsidP="0005467F">
      <w:pPr>
        <w:pStyle w:val="7"/>
      </w:pPr>
      <w:r>
        <w:t xml:space="preserve">И это не только в Брестском гетто, в Белостоке, Барановичах и других населённых пунктах. Во многом именно эта разобщённость, стала камнем преткновения сопротивлениям в гетто. </w:t>
      </w:r>
    </w:p>
    <w:p w14:paraId="3ED2BEC1" w14:textId="77777777" w:rsidR="0005467F" w:rsidRDefault="0005467F" w:rsidP="0005467F">
      <w:pPr>
        <w:pStyle w:val="7"/>
      </w:pPr>
      <w:r>
        <w:t xml:space="preserve">К примеру, в Брестском гетто существовал ряд организаций сопротивления, организованный коммунистами: «Некама» (Месть), «Гехалуц» (Первопроходец). Задачей которых было поднять евреев на восстание и вырваться из гетто. Но как пишет один из участников Брестского подполья Михаил Омелинский: «Слишком сильны были старые обиды, слишком сильны старые нравы, слишком слабо убеждение». [5, с. 45] </w:t>
      </w:r>
    </w:p>
    <w:p w14:paraId="35ECB7A6" w14:textId="77777777" w:rsidR="0005467F" w:rsidRDefault="0005467F" w:rsidP="0005467F">
      <w:pPr>
        <w:pStyle w:val="7"/>
      </w:pPr>
      <w:r>
        <w:t>К началу 1943 года – в ходе «Операции 1005» все гетто, и следы существования евреев, как и следы зверств на ними будут уничтожены. Канут в лету древние общины Гродно, Бриска и других городов. Лягут в могилы и многие «восточники».</w:t>
      </w:r>
    </w:p>
    <w:p w14:paraId="554E245C" w14:textId="77777777" w:rsidR="0005467F" w:rsidRDefault="0005467F" w:rsidP="0005467F">
      <w:pPr>
        <w:pStyle w:val="7"/>
      </w:pPr>
      <w:r>
        <w:lastRenderedPageBreak/>
        <w:t xml:space="preserve">Обиды в обществе разногласия окажутся сильнее чем попытка спасения. Как писал Эли Визель – израильский исследователь, переживший холокост. «Евреи Восточной Европы, не смогли или не захотели сплотиться, чтобы выжить и лишь единицы смогли пройти через этот ад. Можно долго спорить как было нужно и необходимо, но оно так как оно есть, история не знает сослагательного наклонения.» </w:t>
      </w:r>
    </w:p>
    <w:p w14:paraId="31D5BB15" w14:textId="77777777" w:rsidR="0005467F" w:rsidRDefault="0005467F" w:rsidP="0005467F">
      <w:pPr>
        <w:spacing w:after="0" w:line="240" w:lineRule="auto"/>
        <w:ind w:firstLine="720"/>
        <w:jc w:val="both"/>
        <w:rPr>
          <w:rFonts w:ascii="Times New Roman" w:hAnsi="Times New Roman" w:cs="Times New Roman"/>
          <w:sz w:val="28"/>
          <w:szCs w:val="28"/>
          <w:lang w:val="be-BY"/>
        </w:rPr>
      </w:pPr>
    </w:p>
    <w:p w14:paraId="1082E9FB" w14:textId="77777777" w:rsidR="0005467F" w:rsidRPr="0005467F" w:rsidRDefault="0005467F" w:rsidP="0005467F">
      <w:pPr>
        <w:spacing w:after="0" w:line="240" w:lineRule="auto"/>
        <w:ind w:firstLine="720"/>
        <w:jc w:val="both"/>
        <w:rPr>
          <w:rFonts w:ascii="Times New Roman" w:hAnsi="Times New Roman" w:cs="Times New Roman"/>
          <w:sz w:val="28"/>
          <w:szCs w:val="28"/>
          <w:lang w:val="be-BY"/>
        </w:rPr>
      </w:pPr>
    </w:p>
    <w:p w14:paraId="6F76F06A" w14:textId="77777777" w:rsidR="0005467F" w:rsidRDefault="0005467F" w:rsidP="006F6A4F">
      <w:pPr>
        <w:pStyle w:val="8"/>
        <w:numPr>
          <w:ilvl w:val="0"/>
          <w:numId w:val="31"/>
        </w:numPr>
        <w:ind w:left="0" w:firstLine="709"/>
      </w:pPr>
      <w:r>
        <w:t>ГАБО – Ф. 1-п. Оп. 1-б. Д. 11. Л. 8–66.</w:t>
      </w:r>
    </w:p>
    <w:p w14:paraId="40F1FFE7" w14:textId="77777777" w:rsidR="0005467F" w:rsidRDefault="0005467F" w:rsidP="0005467F">
      <w:pPr>
        <w:pStyle w:val="8"/>
      </w:pPr>
      <w:r>
        <w:t>Карпенкина, Я. В. Советизация еврейского населения Западной Белоруссии (1939–1941 гг.): дис. … канд. ист. наук: 07.00.02 / Карпенкина. – М., 2018. – 259 с.</w:t>
      </w:r>
    </w:p>
    <w:p w14:paraId="1EF32241" w14:textId="77777777" w:rsidR="0005467F" w:rsidRDefault="0005467F" w:rsidP="0005467F">
      <w:pPr>
        <w:pStyle w:val="8"/>
      </w:pPr>
      <w:r>
        <w:t>Розенблат, Е. С. «Жизнь и судьба» Брестской еврейской общины XIV-XX в. / Е. С. Розенблат. – Брест: БОУТ, 1993. – 81 с.</w:t>
      </w:r>
    </w:p>
    <w:p w14:paraId="7075C937" w14:textId="77777777" w:rsidR="0005467F" w:rsidRDefault="0005467F" w:rsidP="0005467F">
      <w:pPr>
        <w:pStyle w:val="8"/>
      </w:pPr>
      <w:r>
        <w:t>Левин, Р. А. Мальчик из гетто. / Р. А. Левин. – Москва: Российская политическая энциклопедия (РОССПЭН): Научно-просветительный центр «Холокост», 1996. – 96 с.</w:t>
      </w:r>
    </w:p>
    <w:p w14:paraId="71B52642" w14:textId="77777777" w:rsidR="0005467F" w:rsidRDefault="0005467F" w:rsidP="0005467F">
      <w:pPr>
        <w:pStyle w:val="8"/>
      </w:pPr>
      <w:r>
        <w:t>Чайчиц, И. Н. Брестское гетто. Воспоминания и документы / И. Н. Чайчиц. – Брест: БрГТУ, 2023. – 90 с.</w:t>
      </w:r>
    </w:p>
    <w:p w14:paraId="4D89A5BE" w14:textId="77777777" w:rsidR="0005467F" w:rsidRDefault="0005467F" w:rsidP="0005467F">
      <w:pPr>
        <w:spacing w:after="0" w:line="240" w:lineRule="auto"/>
        <w:ind w:firstLine="709"/>
        <w:jc w:val="both"/>
        <w:rPr>
          <w:rFonts w:ascii="Times New Roman" w:hAnsi="Times New Roman" w:cs="Times New Roman"/>
          <w:sz w:val="28"/>
          <w:szCs w:val="28"/>
        </w:rPr>
      </w:pPr>
    </w:p>
    <w:p w14:paraId="53781840" w14:textId="77777777" w:rsidR="0005467F" w:rsidRPr="00EF68E3" w:rsidRDefault="000C69B3" w:rsidP="0005467F">
      <w:pPr>
        <w:pStyle w:val="Standard"/>
        <w:jc w:val="center"/>
        <w:rPr>
          <w:rFonts w:ascii="Times New Roman" w:hAnsi="Times New Roman" w:cs="Times New Roman"/>
          <w:i/>
          <w:sz w:val="28"/>
          <w:szCs w:val="28"/>
          <w:lang w:val="be-BY"/>
        </w:rPr>
      </w:pPr>
      <w:hyperlink w:anchor="_СОДЕРЖАНИЕ" w:history="1">
        <w:r w:rsidR="0005467F" w:rsidRPr="00EF68E3">
          <w:rPr>
            <w:rStyle w:val="a9"/>
            <w:rFonts w:ascii="Times New Roman" w:hAnsi="Times New Roman" w:cs="Times New Roman"/>
            <w:i/>
            <w:color w:val="auto"/>
            <w:sz w:val="28"/>
            <w:szCs w:val="28"/>
            <w:u w:val="none"/>
            <w:lang w:val="be-BY"/>
          </w:rPr>
          <w:t>К содержанию</w:t>
        </w:r>
      </w:hyperlink>
    </w:p>
    <w:p w14:paraId="2CF917A8" w14:textId="77777777" w:rsidR="0005467F" w:rsidRDefault="0005467F" w:rsidP="008606D7">
      <w:pPr>
        <w:pStyle w:val="12"/>
      </w:pPr>
    </w:p>
    <w:p w14:paraId="6B0D5B0D" w14:textId="77777777" w:rsidR="0005467F" w:rsidRDefault="0005467F" w:rsidP="008606D7">
      <w:pPr>
        <w:pStyle w:val="12"/>
      </w:pPr>
    </w:p>
    <w:p w14:paraId="41474111" w14:textId="77777777" w:rsidR="0005467F" w:rsidRDefault="0005467F" w:rsidP="008606D7">
      <w:pPr>
        <w:pStyle w:val="12"/>
      </w:pPr>
    </w:p>
    <w:p w14:paraId="0C63143D" w14:textId="77777777" w:rsidR="008606D7" w:rsidRDefault="008606D7" w:rsidP="008606D7">
      <w:pPr>
        <w:pStyle w:val="12"/>
      </w:pPr>
      <w:r>
        <w:t xml:space="preserve">УДК 791.43 (476)  </w:t>
      </w:r>
    </w:p>
    <w:p w14:paraId="57ABD24A" w14:textId="77777777" w:rsidR="008606D7" w:rsidRDefault="008606D7" w:rsidP="008606D7">
      <w:pPr>
        <w:pStyle w:val="14"/>
      </w:pPr>
      <w:bookmarkStart w:id="93" w:name="_Toc181894109"/>
      <w:r>
        <w:t>А.В. ГОРОБЕЦ</w:t>
      </w:r>
      <w:bookmarkEnd w:id="93"/>
      <w:r>
        <w:t xml:space="preserve"> </w:t>
      </w:r>
    </w:p>
    <w:p w14:paraId="500C25D3" w14:textId="580AD6F7" w:rsidR="008606D7" w:rsidRDefault="008606D7" w:rsidP="008606D7">
      <w:pPr>
        <w:pStyle w:val="3"/>
      </w:pPr>
      <w:r>
        <w:t>Брест, БрГТУ</w:t>
      </w:r>
    </w:p>
    <w:p w14:paraId="7D13FC4C" w14:textId="1C9E0F9D" w:rsidR="008606D7" w:rsidRPr="008606D7" w:rsidRDefault="008606D7" w:rsidP="008606D7">
      <w:pPr>
        <w:pStyle w:val="4"/>
        <w:rPr>
          <w:lang w:val="ru-RU"/>
        </w:rPr>
      </w:pPr>
      <w:r>
        <w:t xml:space="preserve">Научный руководитель: В.Н. Кузьмич, </w:t>
      </w:r>
      <w:r>
        <w:rPr>
          <w:lang w:val="ru-RU"/>
        </w:rPr>
        <w:t>к.и.н.</w:t>
      </w:r>
      <w:r>
        <w:t>, доцент</w:t>
      </w:r>
    </w:p>
    <w:p w14:paraId="02C2D7FD" w14:textId="77777777" w:rsidR="008606D7" w:rsidRDefault="008606D7" w:rsidP="008606D7">
      <w:pPr>
        <w:pStyle w:val="7"/>
      </w:pPr>
    </w:p>
    <w:p w14:paraId="07E4B970" w14:textId="77777777" w:rsidR="008606D7" w:rsidRDefault="008606D7" w:rsidP="008606D7">
      <w:pPr>
        <w:pStyle w:val="5"/>
      </w:pPr>
      <w:r>
        <w:t xml:space="preserve">БЕЛОРУССКИЙ КИНЕМАТОГРАФ: ВЕХИ ИСТОРИИ  </w:t>
      </w:r>
    </w:p>
    <w:p w14:paraId="6CAABDD3" w14:textId="77777777" w:rsidR="008606D7" w:rsidRDefault="008606D7" w:rsidP="008606D7">
      <w:pPr>
        <w:pStyle w:val="7"/>
      </w:pPr>
    </w:p>
    <w:p w14:paraId="6D414B11" w14:textId="77777777" w:rsidR="008606D7" w:rsidRDefault="008606D7" w:rsidP="008606D7">
      <w:pPr>
        <w:pStyle w:val="6"/>
      </w:pPr>
      <w:r>
        <w:t xml:space="preserve">В статье рассматривается становление и развитие белорусского кинематографа в историческом разрезе. С момента возникновения этот вид искусства пользовался большой популярностью среди населения, а также пристальным вниманием со стороны государства и общества. За сто лет он прошел путь от документальных и научно-популярных короткометражек до масштабных игровых эпопей, известных во всем мире. Киноискусство отражает развитие общества, является важным средством трансляции знаний, идей, традиций.   </w:t>
      </w:r>
    </w:p>
    <w:p w14:paraId="7CE9ACCE" w14:textId="77777777" w:rsidR="008606D7" w:rsidRDefault="008606D7" w:rsidP="008606D7">
      <w:pPr>
        <w:pStyle w:val="7"/>
      </w:pPr>
    </w:p>
    <w:p w14:paraId="2B974EC0" w14:textId="77777777" w:rsidR="008606D7" w:rsidRDefault="008606D7" w:rsidP="008606D7">
      <w:pPr>
        <w:pStyle w:val="7"/>
      </w:pPr>
      <w:r>
        <w:t xml:space="preserve">Кино — одно из самых молодых и в то же время одно из самых массовых искусств. Кинематограф занимает важное место в системе организации досуга современного человека. </w:t>
      </w:r>
    </w:p>
    <w:p w14:paraId="66B4F596" w14:textId="2911733B" w:rsidR="008606D7" w:rsidRDefault="008606D7" w:rsidP="008606D7">
      <w:pPr>
        <w:pStyle w:val="7"/>
      </w:pPr>
      <w:r>
        <w:t xml:space="preserve">Традиционно кинематограф ассоциируется с развлечением. Однако, он выполняет несколько социально значимых функций. Современные </w:t>
      </w:r>
      <w:r>
        <w:lastRenderedPageBreak/>
        <w:t>исследователи кино выделяют следующие: информационную, коммуникативную, нормативную (идеологическую), посредническую (политическую), развлекательную и интеграционную [</w:t>
      </w:r>
      <w:r w:rsidR="003B5B5B">
        <w:t xml:space="preserve">1; </w:t>
      </w:r>
      <w:r>
        <w:t xml:space="preserve">4]. Поэтому молодое белорусское государство не могло оставить без внимания такое важное средство социальной коммуникации. Возникновение белорусского кинематографа обусловлено необходимостью развития интеграционных процессов как внутри общества, так и на межнациональном уровне. </w:t>
      </w:r>
    </w:p>
    <w:p w14:paraId="473E7387" w14:textId="77777777" w:rsidR="008606D7" w:rsidRDefault="008606D7" w:rsidP="008606D7">
      <w:pPr>
        <w:pStyle w:val="7"/>
      </w:pPr>
      <w:r>
        <w:t>Зарождением кинематографа Беларуси можно считать начало XX века, в 1908 предприниматель Рихард Штремер начал снимать первые хроникально-документальные фильмы, такие как «Экскаватор — адская машина за Брестским вокзалом», «Пожар в городе Минске на Полицейской улице», «Хроника учений Минского вольного пожарного товарищества». Он же является основателем первого кинотеатра в Минске. В 1910—1912 гг. кинооператоры минского кинотеатра «Гигант» снимают фильмы «200-летие Царского села», «Крушение на станции Рудники». В это время любимыми жанрами у зрителей были мелодрамы, фантастика и комедии. В это же время кино стали разделять на документальное и игровое (художественное). Документальные фильмы снимались и на территории Беларуси, а игровое кино привозилось из-за рубежа. В Первую Мировую войну, революционное время и во время Гражданской войны 1918—1922 гг. широкое распространение получило документальное кино. В 1918 году кинооператоры Москвы и Петрограда отсняли ряд сюжетов в городах Белоруссии, создали хроникальные ленты: «Мирные переговоры в Брест-Литовске», «Беженцы в Орше».</w:t>
      </w:r>
    </w:p>
    <w:p w14:paraId="41E2DB6F" w14:textId="77777777" w:rsidR="008606D7" w:rsidRDefault="008606D7" w:rsidP="008606D7">
      <w:pPr>
        <w:pStyle w:val="7"/>
      </w:pPr>
      <w:r>
        <w:t>Началом развития кино в Беларуси принято считать 17 декабря 1924 г.,  когда Советом Народных Комиссаров БССР на основании постановления «Об урегулировании кинодела БССР» было создано Управление по делам кино – «Белгоскино» (сегодня этот день празднуется как День белорусского кино). Первые фильмы были, как правило, хрониками, например, первомайские торжества в Минске. В дальнейшем развитие получили учебные и научно-популярные фильмы: «В здоровом теле — здоровый дух», «Мелиорация БССР» (М. Леонтьев) «Такая наша Беларусь» (Е. Петров).</w:t>
      </w:r>
    </w:p>
    <w:p w14:paraId="3708FF8D" w14:textId="77777777" w:rsidR="008606D7" w:rsidRDefault="008606D7" w:rsidP="008606D7">
      <w:pPr>
        <w:pStyle w:val="7"/>
      </w:pPr>
      <w:r>
        <w:t xml:space="preserve">Первым белорусским художественным (игровым) фильмом считается «Лесная быль», который был снят в 1926 г. режиссером Юрием Таричем. Фильм посвящен борьбе с интервентами в 1920 году. </w:t>
      </w:r>
    </w:p>
    <w:p w14:paraId="6F408FF9" w14:textId="55C981A1" w:rsidR="008606D7" w:rsidRDefault="008606D7" w:rsidP="008606D7">
      <w:pPr>
        <w:pStyle w:val="7"/>
      </w:pPr>
      <w:r>
        <w:t xml:space="preserve">Съемка художественных фильмов была крайне трудоемким процессом, т.к. из-за отсутствия технической базы часть кадров снималась в Беларуси, а часть в павильонах на базе киностудий Москвы и Ленинграда. В 1928 году открылась собственная белорусская кинофабрика «Советская </w:t>
      </w:r>
      <w:r>
        <w:lastRenderedPageBreak/>
        <w:t>Беларусь» в г. Ленинграде, в 1939 году она была переведена в Минск. В период с 1928 по 1939 гг. было снято около 50 игровых фильмов [</w:t>
      </w:r>
      <w:r w:rsidR="003B5B5B">
        <w:t>2, с 167</w:t>
      </w:r>
      <w:r>
        <w:t xml:space="preserve">]. </w:t>
      </w:r>
    </w:p>
    <w:p w14:paraId="1AE035CD" w14:textId="77777777" w:rsidR="008606D7" w:rsidRDefault="008606D7" w:rsidP="008606D7">
      <w:pPr>
        <w:pStyle w:val="7"/>
      </w:pPr>
      <w:r>
        <w:t>Активно развивалась мультипликация, поскольку использовалась как средство пропаганды. В 1927 году был выпущен фильм «Октябрь и буржуазный мир» (Г. Болтянский и И. Посельский), который освещал основные этапы истории Советской России и был посвящен к 10-летнему юбилею Октябрьской революции.</w:t>
      </w:r>
    </w:p>
    <w:p w14:paraId="267CB425" w14:textId="552E2B22" w:rsidR="008606D7" w:rsidRDefault="008606D7" w:rsidP="008606D7">
      <w:pPr>
        <w:pStyle w:val="7"/>
      </w:pPr>
      <w:r>
        <w:t>В 30-е годы ХХ века художественные фильмы были, в основном, экранизациями литературных произведений. Широко освещалась тема национального и социального освобождения («Первый взвод» Владимира Корш-Саблина, «Балтийцы» Александра Файнциммера, «Одиннадцатое июля» Юрия Тарича). Также в этот период были попытки создания звуковых фильмов, первым таким является «Переворот», в которым главным режиссером выступил Юрий Тарич. Фильм представлял набор из сюжетов для демонстрации изображения со звуком. Всего в этот период было снято около 60 художественных фильмов [</w:t>
      </w:r>
      <w:r w:rsidR="003B5B5B">
        <w:t>[2, с 167</w:t>
      </w:r>
      <w:r>
        <w:t>].</w:t>
      </w:r>
    </w:p>
    <w:p w14:paraId="1917AB89" w14:textId="77777777" w:rsidR="008606D7" w:rsidRDefault="008606D7" w:rsidP="008606D7">
      <w:pPr>
        <w:pStyle w:val="7"/>
      </w:pPr>
      <w:r>
        <w:t xml:space="preserve">С началом войны «Белгоскино» было перемещено Алма-Ату. В военное время кинорежиссеры этой студии снимали кинохроники и фронтовые репортажи, также некоторые режиссеры взаимодействовали с партизанскими отрядами, например Иосиф Вейнерович. Он запечатлел партизанские вылазки и диверсии, их быт. Белорусские кинодокументалисты участвовали в съемке фильма «Разгром немецких войск под Москвой», получивший премию «Оскар» в категории «Лучший документальный фильм» в 1943 году. В 1944 году был выпущен фильм «Освобождение Советской Белоруссии», режиссером выступил Владимир Корш-Саблин, который также стал автором «Белорусских новелл» совместно с Юрием Таричем. </w:t>
      </w:r>
    </w:p>
    <w:p w14:paraId="3C1C742C" w14:textId="77777777" w:rsidR="008606D7" w:rsidRDefault="008606D7" w:rsidP="008606D7">
      <w:pPr>
        <w:pStyle w:val="7"/>
      </w:pPr>
      <w:r>
        <w:t>Кинематограф во время Великой Отечественной войны сыграл важную роль, выполняя задачи пробуждения патриотизма у граждан и повышения боевого духа солдат.  Высокая значимость войны в истории белорусского народа сыграла важную роль в определении тематики будущих фильмов. В связи с этим «Беларусьфильм» иногда шуточно называют «Партизанфильм»</w:t>
      </w:r>
      <w:r>
        <w:rPr>
          <w:lang w:val="be-BY"/>
        </w:rPr>
        <w:t>.</w:t>
      </w:r>
    </w:p>
    <w:p w14:paraId="2AA187D0" w14:textId="77777777" w:rsidR="008606D7" w:rsidRDefault="008606D7" w:rsidP="008606D7">
      <w:pPr>
        <w:pStyle w:val="7"/>
      </w:pPr>
      <w:r>
        <w:t xml:space="preserve">В 1945 году киностудия “Советская Беларусь” переехала обратно в Минск из Казахстана. В 1946 году она была перименована в “Беларусьфильм”. Вторая половина 1940-х и 1950-е годы были посвящены документальным фильмам, экранизациям театральных постановок и Великой Отечественной войне. </w:t>
      </w:r>
    </w:p>
    <w:p w14:paraId="11E40983" w14:textId="225E806E" w:rsidR="008606D7" w:rsidRDefault="008606D7" w:rsidP="008606D7">
      <w:pPr>
        <w:pStyle w:val="7"/>
      </w:pPr>
      <w:r>
        <w:t xml:space="preserve">В 1960-е годы студия получила новое здание, в которых действовали три творческих объединения: художественных фильмов, документальных </w:t>
      </w:r>
      <w:r>
        <w:lastRenderedPageBreak/>
        <w:t>“Летопись”, телевизионных “Телефильм”, а также мастерская мультипликационных фильмов</w:t>
      </w:r>
      <w:r w:rsidR="003B5B5B">
        <w:t xml:space="preserve"> </w:t>
      </w:r>
      <w:r w:rsidR="003B5B5B" w:rsidRPr="003B5B5B">
        <w:t>[3, с. 93]</w:t>
      </w:r>
      <w:r>
        <w:t xml:space="preserve">. </w:t>
      </w:r>
    </w:p>
    <w:p w14:paraId="744D9CFC" w14:textId="0011FD43" w:rsidR="008606D7" w:rsidRDefault="008606D7" w:rsidP="008606D7">
      <w:pPr>
        <w:pStyle w:val="7"/>
      </w:pPr>
      <w:r>
        <w:t xml:space="preserve">В 1962 году был учрежден белорусской Союз кинематографистов. Тема Великой Отечественной войны всё также являлось основной у режиссёров, однако теперь целью фильмов был показ человека на войне. Белорусский кинематограф сумел объемно раскрыть тему Великой Отечественной войны. Это случилось, когда в профессию пришли режиссеры-шестидесятники, дети войны, и рассказали в фильмах о собственном пережитом. О Беларуси заговорили с почтением и уважением. Белорусское кино доказало, что оно – мощный инструмент сплочения нации, воспитания патриотизма и создания образа народа-победителя [5, с. 40]. Были сняты «Третья ракета» (Р. Викторов), «Альпийская баллада» (Б. Степанов), «Через кладбище», «Я родом из детства», «Война под крышами», «Сыновья уходят в бой» (В. Туров). Также дальнейшее развитие получили исторические фильмы: «Москва — Генуя» (А. Спешнев), «Я, Франциск Скорина...» (Б. Степанов). </w:t>
      </w:r>
    </w:p>
    <w:p w14:paraId="608C6ACD" w14:textId="77777777" w:rsidR="008606D7" w:rsidRDefault="008606D7" w:rsidP="008606D7">
      <w:pPr>
        <w:pStyle w:val="7"/>
      </w:pPr>
      <w:r>
        <w:t xml:space="preserve">В 1970-е годы популярность приобретают детские фильмы, в основном это экранизации произведений детской литературы. Экранизируется исторический роман «Дикая охота короля Стаха» (В. Рубинчик), «Время не ждёт» (Виталий Четвериков). В этот период всё также популярна тема ВОВ, однако акцент смещается на партизанское движение. </w:t>
      </w:r>
    </w:p>
    <w:p w14:paraId="05EA3309" w14:textId="77777777" w:rsidR="008606D7" w:rsidRDefault="008606D7" w:rsidP="008606D7">
      <w:pPr>
        <w:pStyle w:val="7"/>
      </w:pPr>
      <w:r>
        <w:t xml:space="preserve">В 1980-е годы во время политики, проводимой М.С. Горбачевым появилось так называемое “перестроечное” кино, отражающее перемены в обществе, политике и экономике государства. Появляется такой жанр как социальная драма. Ярким примером является фильм «Меня зовут Арлекино» Валерия Рыбарева. Самые известные военные фильмы, снятые в этот период, это “Иди и смотри” Элема Климова и “Знак беды” Михаила Пташука. Оба эти фильма посвящены жизни белорусов в условиях оккупационного режима, показывают крайнюю жестокость захватчиков.  </w:t>
      </w:r>
    </w:p>
    <w:p w14:paraId="04B49DB7" w14:textId="77777777" w:rsidR="008606D7" w:rsidRDefault="008606D7" w:rsidP="008606D7">
      <w:pPr>
        <w:pStyle w:val="7"/>
      </w:pPr>
      <w:r>
        <w:t xml:space="preserve">Распад СССР и последствия, связанные с этим, привели к упадку и застою всех сфер государства, в том числе и кинематографа. Поэтому в   1990-е гг. кино снимается мало. С одной стороны, с прекращением цензуры, появляется больше свободы в творчестве. Но с другой, отсутствует финансирование. Некоторые режиссеры пытаются делать авторское кино, которое не имеет прокатного успеха. Из кризиса “Беларусьфильм” выходит в начале 2000-х гг. В 2000 году выходит фильм “В августе 44-го…” Михаила Пташука, который возвращает “Беларусьфильм” к его основной теме – теме Великой Отечественной войны. В 2007 году студия выпустила семь художественных и 5 анимационных фильмов. </w:t>
      </w:r>
    </w:p>
    <w:p w14:paraId="201326DC" w14:textId="77777777" w:rsidR="008606D7" w:rsidRDefault="008606D7" w:rsidP="008606D7">
      <w:pPr>
        <w:pStyle w:val="7"/>
      </w:pPr>
      <w:r>
        <w:lastRenderedPageBreak/>
        <w:t xml:space="preserve">В начале 2012 года вступила в силу система государственного финансирования кинопроизводства. Первым фильмом, снятым в новых условиях, стал 4-серийный телефильм на тему войны «Следы апостолов» (Сергей Талыбов, 2013), далее в 2016 году Александром Анисимовым был снят фильм к столетию белорусской милиции «Следы на воде», посвященный борьбе с бандами на территории страны, после окончания войны. </w:t>
      </w:r>
    </w:p>
    <w:p w14:paraId="19C6944D" w14:textId="77777777" w:rsidR="008606D7" w:rsidRDefault="008606D7" w:rsidP="008606D7">
      <w:pPr>
        <w:pStyle w:val="7"/>
      </w:pPr>
      <w:r>
        <w:t>Белорусский кинематограф прошел длинный путь от демонстраций фильмов иностранного производства и создания первых собственных кинотеатров до собственных фильмов, известных во многих странах. Белорусские режиссеры поучаствовали в создании фильмов, запечатлевших все важные события ХХ века, однако фильмы создавались и по произведениям и историческим хроникам, которые затрагивали далекое и недавнее прошлое. Современное белорусское кино — достаточно значимая часть кинопространства на мировых кинофестивалях. Особенно стоит отметить традиционно сильную, с самого момента возникновения индустрии, нишу документальных фильмов.</w:t>
      </w:r>
    </w:p>
    <w:p w14:paraId="7234014C" w14:textId="77777777" w:rsidR="008606D7" w:rsidRDefault="008606D7" w:rsidP="008606D7">
      <w:pPr>
        <w:spacing w:after="0" w:line="240" w:lineRule="auto"/>
        <w:ind w:firstLine="709"/>
        <w:jc w:val="both"/>
        <w:rPr>
          <w:rFonts w:ascii="Times New Roman" w:hAnsi="Times New Roman" w:cs="Times New Roman"/>
          <w:sz w:val="28"/>
          <w:szCs w:val="28"/>
        </w:rPr>
      </w:pPr>
    </w:p>
    <w:p w14:paraId="5022AAB5" w14:textId="77777777" w:rsidR="008606D7" w:rsidRDefault="008606D7" w:rsidP="008606D7">
      <w:pPr>
        <w:spacing w:after="0" w:line="240" w:lineRule="auto"/>
        <w:ind w:firstLine="709"/>
        <w:jc w:val="both"/>
        <w:rPr>
          <w:rFonts w:ascii="Times New Roman" w:hAnsi="Times New Roman" w:cs="Times New Roman"/>
          <w:sz w:val="28"/>
          <w:szCs w:val="28"/>
        </w:rPr>
      </w:pPr>
    </w:p>
    <w:p w14:paraId="5CFBC362" w14:textId="2DBD23C9" w:rsidR="008606D7" w:rsidRPr="00842998" w:rsidRDefault="008606D7" w:rsidP="006F6A4F">
      <w:pPr>
        <w:pStyle w:val="8"/>
        <w:numPr>
          <w:ilvl w:val="0"/>
          <w:numId w:val="29"/>
        </w:numPr>
        <w:ind w:left="0" w:firstLine="709"/>
        <w:rPr>
          <w:rStyle w:val="a9"/>
          <w:color w:val="auto"/>
          <w:u w:val="none"/>
        </w:rPr>
      </w:pPr>
      <w:r w:rsidRPr="00842998">
        <w:t>Бороненкова</w:t>
      </w:r>
      <w:r w:rsidR="00842998" w:rsidRPr="00842998">
        <w:rPr>
          <w:lang w:val="ru-RU"/>
        </w:rPr>
        <w:t>,</w:t>
      </w:r>
      <w:r w:rsidRPr="00842998">
        <w:t xml:space="preserve"> Е.</w:t>
      </w:r>
      <w:r w:rsidR="00842998" w:rsidRPr="00842998">
        <w:rPr>
          <w:lang w:val="ru-RU"/>
        </w:rPr>
        <w:t xml:space="preserve"> </w:t>
      </w:r>
      <w:r w:rsidRPr="00842998">
        <w:t xml:space="preserve">C., Роль кинематографа в жизни современного человека </w:t>
      </w:r>
      <w:r w:rsidR="00842998">
        <w:rPr>
          <w:lang w:val="ru-RU"/>
        </w:rPr>
        <w:t xml:space="preserve">/ Е. С. </w:t>
      </w:r>
      <w:r w:rsidR="00842998" w:rsidRPr="00842998">
        <w:t>Бороненкова</w:t>
      </w:r>
      <w:r w:rsidR="00842998">
        <w:rPr>
          <w:lang w:val="ru-RU"/>
        </w:rPr>
        <w:t>.</w:t>
      </w:r>
      <w:r w:rsidR="00842998" w:rsidRPr="00842998">
        <w:t xml:space="preserve"> </w:t>
      </w:r>
      <w:r w:rsidRPr="00842998">
        <w:rPr>
          <w:color w:val="1F1F1F"/>
        </w:rPr>
        <w:t>–</w:t>
      </w:r>
      <w:r w:rsidRPr="00842998">
        <w:t xml:space="preserve"> </w:t>
      </w:r>
      <w:r w:rsidRPr="00842998">
        <w:rPr>
          <w:color w:val="1F1F1F"/>
        </w:rPr>
        <w:t xml:space="preserve">[Электронный ресурс]. – Режим доступа: </w:t>
      </w:r>
      <w:r w:rsidRPr="00842998">
        <w:t>https://edu-time.ru/pub/101767</w:t>
      </w:r>
      <w:r w:rsidRPr="00842998">
        <w:rPr>
          <w:lang w:val="ru-RU"/>
        </w:rPr>
        <w:t xml:space="preserve">. </w:t>
      </w:r>
      <w:r w:rsidRPr="00842998">
        <w:rPr>
          <w:rStyle w:val="a9"/>
          <w:color w:val="auto"/>
          <w:u w:val="none"/>
          <w:lang w:val="ru-RU"/>
        </w:rPr>
        <w:t>– Д</w:t>
      </w:r>
      <w:r w:rsidRPr="00842998">
        <w:rPr>
          <w:rStyle w:val="a9"/>
          <w:color w:val="auto"/>
          <w:u w:val="none"/>
        </w:rPr>
        <w:t xml:space="preserve">ата </w:t>
      </w:r>
      <w:r w:rsidRPr="00842998">
        <w:rPr>
          <w:rStyle w:val="a9"/>
          <w:color w:val="auto"/>
          <w:u w:val="none"/>
          <w:lang w:val="ru-RU"/>
        </w:rPr>
        <w:t>доступа:</w:t>
      </w:r>
      <w:r w:rsidRPr="00842998">
        <w:rPr>
          <w:rStyle w:val="a9"/>
          <w:color w:val="auto"/>
          <w:u w:val="none"/>
        </w:rPr>
        <w:t xml:space="preserve"> 12.05.2024</w:t>
      </w:r>
      <w:r w:rsidRPr="00842998">
        <w:rPr>
          <w:rStyle w:val="a9"/>
          <w:color w:val="auto"/>
          <w:u w:val="none"/>
          <w:lang w:val="ru-RU"/>
        </w:rPr>
        <w:t>.</w:t>
      </w:r>
      <w:r w:rsidRPr="00842998">
        <w:rPr>
          <w:rStyle w:val="a9"/>
          <w:color w:val="auto"/>
          <w:u w:val="none"/>
        </w:rPr>
        <w:t xml:space="preserve"> </w:t>
      </w:r>
    </w:p>
    <w:p w14:paraId="41837A71" w14:textId="383AFDD9" w:rsidR="008606D7" w:rsidRPr="00842998" w:rsidRDefault="008606D7" w:rsidP="008606D7">
      <w:pPr>
        <w:pStyle w:val="8"/>
      </w:pPr>
      <w:r w:rsidRPr="00842998">
        <w:rPr>
          <w:color w:val="000000"/>
          <w:shd w:val="clear" w:color="auto" w:fill="FFFFFF"/>
        </w:rPr>
        <w:t>История белорусского кино: 1945</w:t>
      </w:r>
      <w:r w:rsidR="00842998" w:rsidRPr="00842998">
        <w:rPr>
          <w:color w:val="000000"/>
          <w:shd w:val="clear" w:color="auto" w:fill="FFFFFF"/>
          <w:lang w:val="ru-RU"/>
        </w:rPr>
        <w:t>–</w:t>
      </w:r>
      <w:r w:rsidRPr="00842998">
        <w:rPr>
          <w:color w:val="000000"/>
          <w:shd w:val="clear" w:color="auto" w:fill="FFFFFF"/>
        </w:rPr>
        <w:t xml:space="preserve">1967 / </w:t>
      </w:r>
      <w:r w:rsidRPr="00842998">
        <w:rPr>
          <w:rFonts w:eastAsia="Times New Roman"/>
          <w:color w:val="000000"/>
          <w:lang w:eastAsia="ru-RU"/>
        </w:rPr>
        <w:t>А.</w:t>
      </w:r>
      <w:r w:rsidR="00842998" w:rsidRPr="00842998">
        <w:rPr>
          <w:rFonts w:eastAsia="Times New Roman"/>
          <w:color w:val="000000"/>
          <w:lang w:val="ru-RU" w:eastAsia="ru-RU"/>
        </w:rPr>
        <w:t xml:space="preserve"> </w:t>
      </w:r>
      <w:r w:rsidRPr="00842998">
        <w:rPr>
          <w:rFonts w:eastAsia="Times New Roman"/>
          <w:color w:val="000000"/>
          <w:lang w:eastAsia="ru-RU"/>
        </w:rPr>
        <w:t>В.</w:t>
      </w:r>
      <w:r w:rsidR="00842998" w:rsidRPr="00842998">
        <w:rPr>
          <w:rFonts w:eastAsia="Times New Roman"/>
          <w:color w:val="000000"/>
          <w:lang w:val="ru-RU" w:eastAsia="ru-RU"/>
        </w:rPr>
        <w:t xml:space="preserve"> </w:t>
      </w:r>
      <w:r w:rsidRPr="00842998">
        <w:rPr>
          <w:rFonts w:eastAsia="Times New Roman"/>
          <w:color w:val="000000"/>
          <w:lang w:eastAsia="ru-RU"/>
        </w:rPr>
        <w:t>Красинский [и др.]. – Минск</w:t>
      </w:r>
      <w:r w:rsidR="00842998" w:rsidRPr="00842998">
        <w:rPr>
          <w:rFonts w:eastAsia="Times New Roman"/>
          <w:color w:val="000000"/>
          <w:lang w:val="ru-RU" w:eastAsia="ru-RU"/>
        </w:rPr>
        <w:t xml:space="preserve"> </w:t>
      </w:r>
      <w:r w:rsidRPr="00842998">
        <w:rPr>
          <w:rFonts w:eastAsia="Times New Roman"/>
          <w:color w:val="000000"/>
          <w:lang w:eastAsia="ru-RU"/>
        </w:rPr>
        <w:t>: Наука и техника, 2007. – 256 с.</w:t>
      </w:r>
    </w:p>
    <w:p w14:paraId="6BFD13D8" w14:textId="11A1F91A" w:rsidR="008606D7" w:rsidRPr="00842998" w:rsidRDefault="008606D7" w:rsidP="008606D7">
      <w:pPr>
        <w:pStyle w:val="8"/>
      </w:pPr>
      <w:r w:rsidRPr="00842998">
        <w:t>Климов, И.</w:t>
      </w:r>
      <w:r w:rsidR="00842998" w:rsidRPr="00842998">
        <w:rPr>
          <w:lang w:val="ru-RU"/>
        </w:rPr>
        <w:t xml:space="preserve"> </w:t>
      </w:r>
      <w:r w:rsidRPr="00842998">
        <w:t xml:space="preserve">А. Телевидение: модальности существования / И.А. Климов // Социологические исследования. </w:t>
      </w:r>
      <w:r w:rsidR="00842998" w:rsidRPr="00842998">
        <w:rPr>
          <w:lang w:val="ru-RU"/>
        </w:rPr>
        <w:t>–</w:t>
      </w:r>
      <w:r w:rsidRPr="00842998">
        <w:t xml:space="preserve"> 2005. </w:t>
      </w:r>
      <w:r w:rsidR="00842998" w:rsidRPr="00842998">
        <w:rPr>
          <w:lang w:val="ru-RU"/>
        </w:rPr>
        <w:t>–</w:t>
      </w:r>
      <w:r w:rsidRPr="00842998">
        <w:t xml:space="preserve"> № 10. – С. 93</w:t>
      </w:r>
      <w:r w:rsidR="00842998" w:rsidRPr="00842998">
        <w:rPr>
          <w:lang w:val="ru-RU"/>
        </w:rPr>
        <w:t>–</w:t>
      </w:r>
      <w:r w:rsidRPr="00842998">
        <w:t>100.</w:t>
      </w:r>
    </w:p>
    <w:p w14:paraId="66EF3AA8" w14:textId="01599E88" w:rsidR="008606D7" w:rsidRPr="00842998" w:rsidRDefault="008606D7" w:rsidP="008606D7">
      <w:pPr>
        <w:pStyle w:val="8"/>
      </w:pPr>
      <w:r w:rsidRPr="00842998">
        <w:t xml:space="preserve">Михайлова, Я. Д. Социальные функции кинематографа / Я. Д. Михайлова // Молодой ученый. — 2018. — № 16 (202). — С. 272-274. — </w:t>
      </w:r>
      <w:r w:rsidRPr="00842998">
        <w:rPr>
          <w:color w:val="1F1F1F"/>
        </w:rPr>
        <w:t xml:space="preserve">[Электронный ресурс]. – Режим доступа: </w:t>
      </w:r>
      <w:r w:rsidRPr="00842998">
        <w:t>https://moluch.ru/archive/202/49664/</w:t>
      </w:r>
      <w:r w:rsidR="00842998" w:rsidRPr="00842998">
        <w:rPr>
          <w:lang w:val="ru-RU"/>
        </w:rPr>
        <w:t>. – Д</w:t>
      </w:r>
      <w:r w:rsidRPr="00842998">
        <w:t xml:space="preserve">ата </w:t>
      </w:r>
      <w:r w:rsidR="00842998" w:rsidRPr="00842998">
        <w:rPr>
          <w:lang w:val="ru-RU"/>
        </w:rPr>
        <w:t>доступа</w:t>
      </w:r>
      <w:r w:rsidRPr="00842998">
        <w:t>: 08.05.2024.</w:t>
      </w:r>
    </w:p>
    <w:p w14:paraId="1E83D54D" w14:textId="1E5507DF" w:rsidR="00093C1D" w:rsidRDefault="008606D7" w:rsidP="003E5840">
      <w:pPr>
        <w:pStyle w:val="8"/>
        <w:rPr>
          <w:sz w:val="28"/>
          <w:szCs w:val="28"/>
        </w:rPr>
      </w:pPr>
      <w:r w:rsidRPr="00842998">
        <w:t>Стежко, Н.</w:t>
      </w:r>
      <w:r w:rsidR="00842998" w:rsidRPr="00842998">
        <w:rPr>
          <w:lang w:val="ru-RU"/>
        </w:rPr>
        <w:t xml:space="preserve"> </w:t>
      </w:r>
      <w:r w:rsidRPr="00842998">
        <w:t>Г. Наше кино: взгляд в будущее / Н.</w:t>
      </w:r>
      <w:r w:rsidR="00842998" w:rsidRPr="00842998">
        <w:rPr>
          <w:lang w:val="ru-RU"/>
        </w:rPr>
        <w:t xml:space="preserve"> </w:t>
      </w:r>
      <w:r w:rsidRPr="00842998">
        <w:t>Г. Стежко // Беларуская думка. – 2014. – № 7. – С. 40</w:t>
      </w:r>
      <w:r w:rsidR="00842998" w:rsidRPr="00842998">
        <w:rPr>
          <w:lang w:val="ru-RU"/>
        </w:rPr>
        <w:t>–</w:t>
      </w:r>
      <w:r w:rsidRPr="00842998">
        <w:t>44</w:t>
      </w:r>
      <w:r w:rsidR="00842998" w:rsidRPr="00842998">
        <w:rPr>
          <w:lang w:val="ru-RU"/>
        </w:rPr>
        <w:t>.</w:t>
      </w:r>
      <w:r w:rsidR="003E5840">
        <w:rPr>
          <w:sz w:val="28"/>
          <w:szCs w:val="28"/>
        </w:rPr>
        <w:t xml:space="preserve"> </w:t>
      </w:r>
    </w:p>
    <w:p w14:paraId="5F78FC09" w14:textId="77777777" w:rsidR="003E5840" w:rsidRPr="004C797D" w:rsidRDefault="003E5840" w:rsidP="003E5840">
      <w:pPr>
        <w:pStyle w:val="7"/>
        <w:rPr>
          <w:lang w:val="be-BY"/>
        </w:rPr>
      </w:pPr>
    </w:p>
    <w:p w14:paraId="3F69D596" w14:textId="77777777" w:rsidR="003E5840" w:rsidRPr="00EF68E3" w:rsidRDefault="000C69B3" w:rsidP="003E5840">
      <w:pPr>
        <w:pStyle w:val="Standard"/>
        <w:jc w:val="center"/>
        <w:rPr>
          <w:rFonts w:ascii="Times New Roman" w:hAnsi="Times New Roman" w:cs="Times New Roman"/>
          <w:i/>
          <w:sz w:val="28"/>
          <w:szCs w:val="28"/>
          <w:lang w:val="be-BY"/>
        </w:rPr>
      </w:pPr>
      <w:hyperlink w:anchor="_СОДЕРЖАНИЕ" w:history="1">
        <w:r w:rsidR="003E5840" w:rsidRPr="00EF68E3">
          <w:rPr>
            <w:rStyle w:val="a9"/>
            <w:rFonts w:ascii="Times New Roman" w:hAnsi="Times New Roman" w:cs="Times New Roman"/>
            <w:i/>
            <w:color w:val="auto"/>
            <w:sz w:val="28"/>
            <w:szCs w:val="28"/>
            <w:u w:val="none"/>
            <w:lang w:val="be-BY"/>
          </w:rPr>
          <w:t>К содержанию</w:t>
        </w:r>
      </w:hyperlink>
    </w:p>
    <w:p w14:paraId="3F1BC476" w14:textId="77777777" w:rsidR="003E5840" w:rsidRDefault="003E5840" w:rsidP="00093C1D">
      <w:pPr>
        <w:spacing w:after="0" w:line="240" w:lineRule="auto"/>
        <w:rPr>
          <w:rFonts w:ascii="Times New Roman" w:hAnsi="Times New Roman" w:cs="Times New Roman"/>
          <w:sz w:val="28"/>
          <w:szCs w:val="28"/>
          <w:lang w:val="be-BY"/>
        </w:rPr>
      </w:pPr>
    </w:p>
    <w:p w14:paraId="274CC387" w14:textId="77777777" w:rsidR="003E5840" w:rsidRDefault="003E5840" w:rsidP="00093C1D">
      <w:pPr>
        <w:spacing w:after="0" w:line="240" w:lineRule="auto"/>
        <w:rPr>
          <w:rFonts w:ascii="Times New Roman" w:hAnsi="Times New Roman" w:cs="Times New Roman"/>
          <w:sz w:val="28"/>
          <w:szCs w:val="28"/>
          <w:lang w:val="be-BY"/>
        </w:rPr>
      </w:pPr>
    </w:p>
    <w:p w14:paraId="46F5D1A8" w14:textId="77777777" w:rsidR="003E5840" w:rsidRDefault="003E5840" w:rsidP="00093C1D">
      <w:pPr>
        <w:spacing w:after="0" w:line="240" w:lineRule="auto"/>
        <w:rPr>
          <w:rFonts w:ascii="Times New Roman" w:hAnsi="Times New Roman" w:cs="Times New Roman"/>
          <w:sz w:val="28"/>
          <w:szCs w:val="28"/>
          <w:lang w:val="be-BY"/>
        </w:rPr>
      </w:pPr>
    </w:p>
    <w:p w14:paraId="033AEB18" w14:textId="77777777" w:rsidR="002E4BD4" w:rsidRDefault="002E4BD4" w:rsidP="00093C1D">
      <w:pPr>
        <w:spacing w:after="0" w:line="240" w:lineRule="auto"/>
        <w:rPr>
          <w:rFonts w:ascii="Times New Roman" w:hAnsi="Times New Roman" w:cs="Times New Roman"/>
          <w:sz w:val="28"/>
          <w:szCs w:val="28"/>
          <w:lang w:val="be-BY"/>
        </w:rPr>
      </w:pPr>
    </w:p>
    <w:p w14:paraId="06599C5D" w14:textId="77777777" w:rsidR="002E4BD4" w:rsidRDefault="002E4BD4" w:rsidP="00093C1D">
      <w:pPr>
        <w:spacing w:after="0" w:line="240" w:lineRule="auto"/>
        <w:rPr>
          <w:rFonts w:ascii="Times New Roman" w:hAnsi="Times New Roman" w:cs="Times New Roman"/>
          <w:sz w:val="28"/>
          <w:szCs w:val="28"/>
          <w:lang w:val="be-BY"/>
        </w:rPr>
      </w:pPr>
    </w:p>
    <w:p w14:paraId="36D04872" w14:textId="77777777" w:rsidR="002E4BD4" w:rsidRDefault="002E4BD4" w:rsidP="00093C1D">
      <w:pPr>
        <w:spacing w:after="0" w:line="240" w:lineRule="auto"/>
        <w:rPr>
          <w:rFonts w:ascii="Times New Roman" w:hAnsi="Times New Roman" w:cs="Times New Roman"/>
          <w:sz w:val="28"/>
          <w:szCs w:val="28"/>
          <w:lang w:val="be-BY"/>
        </w:rPr>
      </w:pPr>
    </w:p>
    <w:p w14:paraId="6F7811C5" w14:textId="77777777" w:rsidR="002E4BD4" w:rsidRDefault="002E4BD4" w:rsidP="00093C1D">
      <w:pPr>
        <w:spacing w:after="0" w:line="240" w:lineRule="auto"/>
        <w:rPr>
          <w:rFonts w:ascii="Times New Roman" w:hAnsi="Times New Roman" w:cs="Times New Roman"/>
          <w:sz w:val="28"/>
          <w:szCs w:val="28"/>
          <w:lang w:val="be-BY"/>
        </w:rPr>
      </w:pPr>
    </w:p>
    <w:p w14:paraId="6C4EB7B6" w14:textId="77777777" w:rsidR="002E4BD4" w:rsidRDefault="002E4BD4" w:rsidP="00093C1D">
      <w:pPr>
        <w:spacing w:after="0" w:line="240" w:lineRule="auto"/>
        <w:rPr>
          <w:rFonts w:ascii="Times New Roman" w:hAnsi="Times New Roman" w:cs="Times New Roman"/>
          <w:sz w:val="28"/>
          <w:szCs w:val="28"/>
          <w:lang w:val="be-BY"/>
        </w:rPr>
      </w:pPr>
    </w:p>
    <w:p w14:paraId="22EAB8C8" w14:textId="77777777" w:rsidR="002E4BD4" w:rsidRDefault="002E4BD4" w:rsidP="00093C1D">
      <w:pPr>
        <w:spacing w:after="0" w:line="240" w:lineRule="auto"/>
        <w:rPr>
          <w:rFonts w:ascii="Times New Roman" w:hAnsi="Times New Roman" w:cs="Times New Roman"/>
          <w:sz w:val="28"/>
          <w:szCs w:val="28"/>
          <w:lang w:val="be-BY"/>
        </w:rPr>
      </w:pPr>
    </w:p>
    <w:p w14:paraId="21BF8748" w14:textId="77777777" w:rsidR="002E4BD4" w:rsidRDefault="002E4BD4" w:rsidP="00093C1D">
      <w:pPr>
        <w:spacing w:after="0" w:line="240" w:lineRule="auto"/>
        <w:rPr>
          <w:rFonts w:ascii="Times New Roman" w:hAnsi="Times New Roman" w:cs="Times New Roman"/>
          <w:sz w:val="28"/>
          <w:szCs w:val="28"/>
          <w:lang w:val="be-BY"/>
        </w:rPr>
      </w:pPr>
    </w:p>
    <w:p w14:paraId="19ACEE02" w14:textId="77777777" w:rsidR="003E5840" w:rsidRDefault="003E5840" w:rsidP="003E5840">
      <w:pPr>
        <w:pStyle w:val="12"/>
      </w:pPr>
      <w:r>
        <w:lastRenderedPageBreak/>
        <w:t>УДК 373.51</w:t>
      </w:r>
    </w:p>
    <w:p w14:paraId="1B40B2E1" w14:textId="5A33C00B" w:rsidR="003E5840" w:rsidRDefault="003E5840" w:rsidP="003E5840">
      <w:pPr>
        <w:pStyle w:val="14"/>
      </w:pPr>
      <w:bookmarkStart w:id="94" w:name="_Toc181894110"/>
      <w:r>
        <w:t>Т.С. ПРИСТУПА</w:t>
      </w:r>
      <w:bookmarkEnd w:id="94"/>
      <w:r>
        <w:t xml:space="preserve"> </w:t>
      </w:r>
    </w:p>
    <w:p w14:paraId="1A3386B0" w14:textId="26CBC7A6" w:rsidR="003E5840" w:rsidRPr="003E5840" w:rsidRDefault="003E5840" w:rsidP="003E5840">
      <w:pPr>
        <w:pStyle w:val="3"/>
      </w:pPr>
      <w:r>
        <w:t>Барановичи, ГУО «Средняя школа № 19</w:t>
      </w:r>
    </w:p>
    <w:p w14:paraId="45C2DE1C" w14:textId="77777777" w:rsidR="003E5840" w:rsidRDefault="003E5840" w:rsidP="003E5840">
      <w:pPr>
        <w:pStyle w:val="7"/>
      </w:pPr>
    </w:p>
    <w:p w14:paraId="5FCFBFA5" w14:textId="77777777" w:rsidR="003E5840" w:rsidRPr="003E5840" w:rsidRDefault="003E5840" w:rsidP="003E5840">
      <w:pPr>
        <w:pStyle w:val="5"/>
      </w:pPr>
      <w:r w:rsidRPr="003E5840">
        <w:rPr>
          <w:rStyle w:val="40"/>
          <w:i w:val="0"/>
          <w:lang w:val="ru-RU"/>
        </w:rPr>
        <w:t>УЧЕБНОЕ ПОСОБИЕ «ИСТОРИЯ БЕЛАРУСИ В КОНТЕКСТЕ ВСЕМИРНОЙ ИСТОРИИ» ДЛЯ УЧАЩИХСЯ Х КЛАССА: ВЗГЛЯД</w:t>
      </w:r>
      <w:r w:rsidRPr="003E5840">
        <w:t xml:space="preserve"> УЧАСТНИКА АПРОБАЦИИ</w:t>
      </w:r>
    </w:p>
    <w:p w14:paraId="3FF8173A" w14:textId="77777777" w:rsidR="003E5840" w:rsidRDefault="003E5840" w:rsidP="003E5840">
      <w:pPr>
        <w:pStyle w:val="7"/>
      </w:pPr>
    </w:p>
    <w:p w14:paraId="2B9FD055" w14:textId="789922EF" w:rsidR="003E5840" w:rsidRDefault="003E5840" w:rsidP="003E5840">
      <w:pPr>
        <w:pStyle w:val="6"/>
      </w:pPr>
      <w:r>
        <w:t xml:space="preserve">В статье рассматриваются изменения в преподавании учебного предмета «История» в связи с введением нового интегрированного курса «История Беларуси в контексте всемирной истории» для учащихся Х класса общеобразовательной средней школы. Акцентируется внимание на актуальных аспектах апробации учебной программы и учебного пособия. </w:t>
      </w:r>
    </w:p>
    <w:p w14:paraId="2D081290" w14:textId="77777777" w:rsidR="003E5840" w:rsidRPr="003E5840" w:rsidRDefault="003E5840" w:rsidP="003E5840">
      <w:pPr>
        <w:pStyle w:val="7"/>
      </w:pPr>
    </w:p>
    <w:p w14:paraId="29BCF54E" w14:textId="77777777" w:rsidR="003E5840" w:rsidRPr="003E5840" w:rsidRDefault="003E5840" w:rsidP="003E5840">
      <w:pPr>
        <w:pStyle w:val="7"/>
      </w:pPr>
      <w:r w:rsidRPr="003E5840">
        <w:t xml:space="preserve">В современных условиях весьма актуален вопрос обновления содержания образования. В 2022 году была принята Концепция школьного исторического образования, в соответствии с которой в настоящее время разрабатывается содержание нового курса для Х-ХI классов учреждений общего среднего образования – «История Беларуси в контексте всемирной истории». Согласно Приказу Министерства образования Республики Беларусь, в 2023/2024 учебном году были определены учреждения образования, на базе которых осуществляется экспериментальная и инновационная деятельность [1]. Государственное учреждение образования «Средняя школа № 19 г. Барановичи» в числе четырнадцати учреждений общего среднего образования стало площадкой для апробации новой учебной программы и учебного пособия. Руководителями экспериментального проекта по апробации учебной программы и учебного пособия являются Гинчук Валентина Васильевна, проректор по методической работе Академии образования, кандидат педагогических наук; Кохановский Александр Геннадьевич, декан исторического факультета БГУ, доктор исторических наук, профессор. В апробации принимают участие учащиеся Х «А» класса ГУО «Средняя школа № 19 г. Барановичи» и учитель истории Приступа Татьяна Степановна. Куратором проекта в школе является заместитель директора по учебной работе Олешко Елена Станиславовна. </w:t>
      </w:r>
    </w:p>
    <w:p w14:paraId="511B86C1" w14:textId="77777777" w:rsidR="003E5840" w:rsidRPr="003E5840" w:rsidRDefault="003E5840" w:rsidP="003E5840">
      <w:pPr>
        <w:pStyle w:val="7"/>
      </w:pPr>
      <w:r w:rsidRPr="003E5840">
        <w:t xml:space="preserve">Согласно экспериментальной учебной программе, объектом изучения в Х классе является история Беларуси с древнейших времен до конца ХVIII в. Целью обучения учебному предмету «История Беларуси в контексте всемирной истории (с древнейших времен до конца ХVIII в.)» на базовом уровне является развитие личности учащегося в процессе его интеграции в современную социокультурную среду Беларуси на основе осмысления исторического опыта белорусской нации в контексте истории человечества. </w:t>
      </w:r>
      <w:r w:rsidRPr="003E5840">
        <w:lastRenderedPageBreak/>
        <w:t>Особое внимание при отборе содержания учебного материала уделяется сохранению исторической памяти, формированию гражданской идентичности. Содержание обучения по учебному предмету «История Беларуси в контексте всемирной истории» построено в соответствии с концентрическим принципом, что предполагает усвоение учебного материала на проблемно-теоретическом уровне.</w:t>
      </w:r>
    </w:p>
    <w:p w14:paraId="280D76A7" w14:textId="77777777" w:rsidR="003E5840" w:rsidRPr="003E5840" w:rsidRDefault="003E5840" w:rsidP="003E5840">
      <w:pPr>
        <w:pStyle w:val="7"/>
      </w:pPr>
      <w:r w:rsidRPr="003E5840">
        <w:t xml:space="preserve">Для учителей, участвующих в апробации новой учебной программы и учебного пособия, проводятся семинары на базе Академии образования. На подобных встречах подробно анализируется содержание учебного материала, предоставленного авторским коллективом. Коллегиальное обсуждение способствует выработке единых подходов к подаче исторического материала в новом учебном пособии. Учителя истории школ республики также имеют возможность ознакомиться с содержанием экспериментальной программы и нового учебного пособия, высказать свои предложения и замечания. Во всех регионах страны прошли диалоговые площадки, на которых обсудили основные аспекты внедрения интегрированного курса «История Беларуси в контексте всемирной истории». </w:t>
      </w:r>
    </w:p>
    <w:p w14:paraId="278DA4A9" w14:textId="77777777" w:rsidR="003E5840" w:rsidRPr="003E5840" w:rsidRDefault="003E5840" w:rsidP="003E5840">
      <w:pPr>
        <w:pStyle w:val="7"/>
      </w:pPr>
      <w:r w:rsidRPr="003E5840">
        <w:t xml:space="preserve">Как участнику апробации хочется отметить, что учебное пособие создается с учетом новых подходов к школьному историческому образованию. В основном теоретический и практический материал отобран оптимально. Изучению истории Беларуси уделено достаточно внимания. При этом очевидно, что абсолютно все события всемирной истории и истории Беларуси синхронизировать невозможно. В учебном пособии есть достаточное количество иллюстративного материала (схемы, таблицы, инфографики), раскрывающего содержание темы урока. К каждому разделу дается инфографика, где лаконично отображены события мировой и отечественной истории в определенный исторический период. Опорные схемы, предлагаемые авторским коллективом в пособии, способствуют организации самостоятельной учебно-познавательной деятельности старшеклассников. Дополнительного материала также достаточно. Он доступен, адаптирован по содержанию и объему. Документы отражают очевидные, наиболее типичные факты и события эпохи; органически связаны с программным материалом; содействуют актуализации знаний; содержат бытовые и сюжетные подробности. Рубрика «Работаем с историческим источником» предусматривает анализ различных источников информации – от аутентичных текстов до противоположных мнений исследователей, историков на одно и то же событие. Как правило, одно или несколько заданий в отмеченной рубрике носят проблемный, поисковый характер. Например, анализ выдержки из «Хроники Быховца» и надписи на Борисовых камнях предполагают задания не только визуального восприятия </w:t>
      </w:r>
      <w:r w:rsidRPr="003E5840">
        <w:lastRenderedPageBreak/>
        <w:t xml:space="preserve">источников, но и проблемный вопрос «Данные исторические источника противоречат или дополняют друг друга?» (тема «Первые государства на белорусских землях»). </w:t>
      </w:r>
    </w:p>
    <w:p w14:paraId="7FF29F83" w14:textId="77777777" w:rsidR="003E5840" w:rsidRPr="003E5840" w:rsidRDefault="003E5840" w:rsidP="003E5840">
      <w:pPr>
        <w:pStyle w:val="7"/>
      </w:pPr>
      <w:r w:rsidRPr="003E5840">
        <w:t xml:space="preserve">Среди нововведений в учебном пособии – тезисный план на полях. Он позволяет учащимся быстро ориентироваться в содержании параграфа, обратить внимание на ключевые аспекты изучения темы, выделить и пояснить логику изложения материла, причинно-следственные связи. Например, по теме «Реформация и религиозные войны в Западной Европе. Контрреформация» тезисный план акцентирует внимание учащихся на следующих фактах: что такое Реформация; технологический прогресс; социально-экономические изменения, Мартин Лютер; «Женевский папа», «защитник веры», протестантизм и др. </w:t>
      </w:r>
    </w:p>
    <w:p w14:paraId="19DE66AB" w14:textId="77777777" w:rsidR="003E5840" w:rsidRPr="003E5840" w:rsidRDefault="003E5840" w:rsidP="003E5840">
      <w:pPr>
        <w:pStyle w:val="7"/>
      </w:pPr>
      <w:r w:rsidRPr="003E5840">
        <w:t xml:space="preserve">Также каждый параграф заканчивается рубрикой «Когда в мире…/ На территории белорусских земель», где проводится синхронизация событий мировой и отечественной истории (например, появление книгопечатания в Западной Европе и на белорусских землях). </w:t>
      </w:r>
    </w:p>
    <w:p w14:paraId="04156E30" w14:textId="77777777" w:rsidR="003E5840" w:rsidRPr="003E5840" w:rsidRDefault="003E5840" w:rsidP="003E5840">
      <w:pPr>
        <w:pStyle w:val="7"/>
      </w:pPr>
      <w:r w:rsidRPr="003E5840">
        <w:t xml:space="preserve">В учебном пособии разработана целостная система заданий (упражнений, задач), направленных на обеспечение основных требований к способам учебной деятельности. Очень удачными и грамотно составленными являются рубрики «История и современность», «Проводим мини-исследование». Рубрика «История и современность» акцентирует внимание на связи исторических событий с сегодняшним днем, позволяет активно задействовать межпредметные связи с разными областями знаний – от биологии до астрономии и химии. </w:t>
      </w:r>
    </w:p>
    <w:p w14:paraId="4530E687" w14:textId="77777777" w:rsidR="003E5840" w:rsidRPr="003E5840" w:rsidRDefault="003E5840" w:rsidP="003E5840">
      <w:pPr>
        <w:pStyle w:val="7"/>
      </w:pPr>
      <w:r w:rsidRPr="003E5840">
        <w:t>Например, в материале о Лидском и Кревском замках (тема «Культура белорусских земель») учащимся предлагается ответить на следующие вопросы: Определить, из каких элементов состоял замок-кастель. Доказать, что замки имели важное значение как оборонительные сооружения. Вспомнить важные исторические события, связанные с представленными на изображениях замками. Привести три аргумента, почему сегодня следует посетить замки-кастели Беларуси.</w:t>
      </w:r>
    </w:p>
    <w:p w14:paraId="0008A0A3" w14:textId="77777777" w:rsidR="003E5840" w:rsidRPr="003E5840" w:rsidRDefault="003E5840" w:rsidP="003E5840">
      <w:pPr>
        <w:pStyle w:val="7"/>
      </w:pPr>
      <w:r w:rsidRPr="003E5840">
        <w:t xml:space="preserve">По результатам анкетирования наиболее интересной для учащихся является рубрика «Проводим мини-исследование». Она позволяет выполнить задания поискового и проектного характера на уроке. Старшеклассники смело высказывают свои оценочные суждения, формулируют проблему, делают обоснованные выводы. Практически все задания практико-ориентированные. Они позволяют опираться на опыт и знания учащихся. Присутствуют задания на сравнение различных точек зрения, проверку утверждений «на прочность». Например, в мини исследовании о деятельности физиократов на территории Беларуси (тема «Развитие научных знаний на белорусских землях») десятиклассникам </w:t>
      </w:r>
      <w:r w:rsidRPr="003E5840">
        <w:lastRenderedPageBreak/>
        <w:t xml:space="preserve">предложены следующие вопросы: Что физиократы считали богатством? Что предусматривали нововведения Иоахима Хрептовича? Объяснить, почему по требованию короля Станислава Августа Понятовского в Гродно была учреждена должность газетного цензора. Охарактеризовать аграрные и культурные проекты Антония Тизенгауза. Обосновать собственную точку зрения о том, соответствовали ли взгляды Иоахима Хрептовича и Антония Тизенгауза идеям Просвещения. </w:t>
      </w:r>
    </w:p>
    <w:p w14:paraId="66074DA7" w14:textId="77777777" w:rsidR="003E5840" w:rsidRPr="003E5840" w:rsidRDefault="003E5840" w:rsidP="003E5840">
      <w:pPr>
        <w:pStyle w:val="7"/>
      </w:pPr>
      <w:r w:rsidRPr="003E5840">
        <w:t xml:space="preserve">При подаче учебного материала соблюдаются основные дидактические принципы: соответствие возрастным познавательным возможностям учащихся; последовательность изложения исторической информации и др. Достаточное количество вопросов и заданий для самопроверки усвоения учебного материала (оптимально их чаще всего пять). Предполагается работа в парах и мини-группах по выполнению определенных заданий. На каждом уроке предусмотрена актуализация знаний с помощью «облака слов». Причем задания самые разные. Работу с облаком слов можно вести на всех этапах урока, дополняя его новыми понятиями и терминами. </w:t>
      </w:r>
    </w:p>
    <w:p w14:paraId="413AE19A" w14:textId="77777777" w:rsidR="003E5840" w:rsidRPr="003E5840" w:rsidRDefault="003E5840" w:rsidP="003E5840">
      <w:pPr>
        <w:pStyle w:val="7"/>
      </w:pPr>
      <w:r w:rsidRPr="003E5840">
        <w:t xml:space="preserve">Учебный материал нового пособия учит мыслить критически, т. е. это не просто констатировать факты, события, явления, а предусматривает «погружение» в эпоху. Этому способствует созданный учителями-методистами Сурконт Татьяной Марьяновной, Бернат Ириной Петровной и Субботиной Дарьей Олеговной методический аппарат пособия. По инициативе вышеуказанных педагогов с учителями, участвующими в апробации, проводятся еженедельные онлайн-встречи. Во время таких мероприятий учителя-методисты акцентируют внимание на практических заданиях, отвечают на интересующие педагогов вопросы. </w:t>
      </w:r>
    </w:p>
    <w:p w14:paraId="0AEDA192" w14:textId="77777777" w:rsidR="003E5840" w:rsidRPr="003E5840" w:rsidRDefault="003E5840" w:rsidP="003E5840">
      <w:pPr>
        <w:pStyle w:val="7"/>
      </w:pPr>
      <w:r w:rsidRPr="003E5840">
        <w:t>Содержание учебного пособия соответствует идеологии белорусского государства, способствует формированию активной гражданской позиции старшеклассников. Присутствуют вопросы и задания, призванные формировать ценностные ориентации, опыт ответственного выбора и сознательной деятельности. Подобраны тесты, содержащие гражданско-правовую и историко-культурную информацию (кодекс Юстиниана, Статут ВКЛ 1588 г. и др.); показывающие образцы эффективного гражданского действия, поведения в ситуации нравственного выбора (исторические источники о славянах, Е. Полоцкой, Николае Радзивилле Черном) и др.</w:t>
      </w:r>
    </w:p>
    <w:p w14:paraId="595C2299" w14:textId="77777777" w:rsidR="003E5840" w:rsidRPr="003E5840" w:rsidRDefault="003E5840" w:rsidP="003E5840">
      <w:pPr>
        <w:pStyle w:val="7"/>
      </w:pPr>
      <w:r w:rsidRPr="003E5840">
        <w:t xml:space="preserve">Среди основных замечаний учителей-практиков – достаточно большой объем параграфов. Часть материала дублируется; некоторые общеизвестные термины нет необходимости пояснять в глоссарии. </w:t>
      </w:r>
    </w:p>
    <w:p w14:paraId="3EA82924" w14:textId="77777777" w:rsidR="003E5840" w:rsidRPr="003E5840" w:rsidRDefault="003E5840" w:rsidP="003E5840">
      <w:pPr>
        <w:pStyle w:val="7"/>
      </w:pPr>
      <w:r w:rsidRPr="003E5840">
        <w:t xml:space="preserve">Следует отметить, что содержание и форма предъявления учебного материала способствует развитию интереса учащихся к учебному предмету. Учебное пособие обеспечивает возможность самостоятельного усвоения </w:t>
      </w:r>
      <w:r w:rsidRPr="003E5840">
        <w:lastRenderedPageBreak/>
        <w:t>обязательного учебного материала учащимися с разным уровнем подготовки, способствует развитию познавательных и творческих способностей учащихся.</w:t>
      </w:r>
    </w:p>
    <w:p w14:paraId="543F1096" w14:textId="77777777" w:rsidR="003E5840" w:rsidRPr="003E5840" w:rsidRDefault="003E5840" w:rsidP="003E5840">
      <w:pPr>
        <w:pStyle w:val="7"/>
      </w:pPr>
      <w:r w:rsidRPr="003E5840">
        <w:t>Важно, чтобы авторы нового учебного пособия учли замечания участников апробации, учителей-практиков, и новое пособие не вызывало массовых нареканий учителей истории и учащихся.</w:t>
      </w:r>
    </w:p>
    <w:p w14:paraId="126C216A" w14:textId="77777777" w:rsidR="003E5840" w:rsidRDefault="003E5840" w:rsidP="003E5840">
      <w:pPr>
        <w:spacing w:after="0" w:line="240" w:lineRule="auto"/>
        <w:ind w:firstLine="709"/>
        <w:jc w:val="center"/>
        <w:rPr>
          <w:rFonts w:ascii="Times New Roman" w:hAnsi="Times New Roman" w:cs="Times New Roman"/>
          <w:sz w:val="28"/>
          <w:szCs w:val="28"/>
        </w:rPr>
      </w:pPr>
    </w:p>
    <w:p w14:paraId="594A8798" w14:textId="69C15862" w:rsidR="003E5840" w:rsidRDefault="003E5840" w:rsidP="006F6A4F">
      <w:pPr>
        <w:pStyle w:val="8"/>
        <w:numPr>
          <w:ilvl w:val="0"/>
          <w:numId w:val="32"/>
        </w:numPr>
        <w:ind w:left="0" w:firstLine="709"/>
      </w:pPr>
      <w:r>
        <w:t xml:space="preserve"> Приказ Министерства образования Республики Беларусь «Об экспериментальной и инновационной деятельности в 2023/2024 учебном году» [Электронный ресурс]. – Режим доступа: </w:t>
      </w:r>
      <w:r w:rsidRPr="003E5840">
        <w:rPr>
          <w:sz w:val="28"/>
          <w:szCs w:val="28"/>
        </w:rPr>
        <w:t>https://adu.by/images/2023/09/prikaz_mo_rb_517_2023.pdf/</w:t>
      </w:r>
      <w:r>
        <w:t>. – Дата доступа: 12.04.2024.</w:t>
      </w:r>
    </w:p>
    <w:p w14:paraId="7197444F" w14:textId="77777777" w:rsidR="00B549A3" w:rsidRPr="004C797D" w:rsidRDefault="00B549A3" w:rsidP="00B549A3">
      <w:pPr>
        <w:spacing w:after="0" w:line="240" w:lineRule="auto"/>
        <w:ind w:firstLine="709"/>
        <w:jc w:val="both"/>
        <w:rPr>
          <w:rFonts w:ascii="Times New Roman" w:hAnsi="Times New Roman" w:cs="Times New Roman"/>
          <w:sz w:val="28"/>
          <w:szCs w:val="28"/>
          <w:lang w:val="be-BY"/>
        </w:rPr>
      </w:pPr>
    </w:p>
    <w:p w14:paraId="5E5F5E8D"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3292E473" w14:textId="77777777" w:rsidR="00B549A3" w:rsidRDefault="00B549A3" w:rsidP="00B549A3">
      <w:pPr>
        <w:spacing w:after="0" w:line="240" w:lineRule="auto"/>
        <w:jc w:val="both"/>
        <w:rPr>
          <w:rFonts w:ascii="Times New Roman" w:hAnsi="Times New Roman" w:cs="Times New Roman"/>
          <w:sz w:val="28"/>
          <w:szCs w:val="28"/>
        </w:rPr>
      </w:pPr>
    </w:p>
    <w:p w14:paraId="4852E485" w14:textId="77777777" w:rsidR="00B549A3" w:rsidRDefault="00B549A3" w:rsidP="00B549A3">
      <w:pPr>
        <w:spacing w:after="0" w:line="240" w:lineRule="auto"/>
        <w:jc w:val="both"/>
        <w:rPr>
          <w:rFonts w:ascii="Times New Roman" w:hAnsi="Times New Roman" w:cs="Times New Roman"/>
          <w:sz w:val="28"/>
          <w:szCs w:val="28"/>
          <w:lang w:val="be-BY"/>
        </w:rPr>
      </w:pPr>
    </w:p>
    <w:p w14:paraId="7D1CD661" w14:textId="77777777" w:rsidR="006A0422" w:rsidRDefault="006A0422" w:rsidP="00B549A3">
      <w:pPr>
        <w:spacing w:after="0" w:line="240" w:lineRule="auto"/>
        <w:jc w:val="both"/>
        <w:rPr>
          <w:rFonts w:ascii="Times New Roman" w:hAnsi="Times New Roman" w:cs="Times New Roman"/>
          <w:sz w:val="28"/>
          <w:szCs w:val="28"/>
          <w:lang w:val="be-BY"/>
        </w:rPr>
      </w:pPr>
    </w:p>
    <w:p w14:paraId="56595048" w14:textId="77777777" w:rsidR="006A0422" w:rsidRDefault="006A0422" w:rsidP="00B549A3">
      <w:pPr>
        <w:spacing w:after="0" w:line="240" w:lineRule="auto"/>
        <w:jc w:val="both"/>
        <w:rPr>
          <w:rFonts w:ascii="Times New Roman" w:hAnsi="Times New Roman" w:cs="Times New Roman"/>
          <w:sz w:val="28"/>
          <w:szCs w:val="28"/>
          <w:lang w:val="be-BY"/>
        </w:rPr>
      </w:pPr>
    </w:p>
    <w:p w14:paraId="3B69BC8A" w14:textId="77777777" w:rsidR="006A0422" w:rsidRDefault="006A0422" w:rsidP="00B549A3">
      <w:pPr>
        <w:spacing w:after="0" w:line="240" w:lineRule="auto"/>
        <w:jc w:val="both"/>
        <w:rPr>
          <w:rFonts w:ascii="Times New Roman" w:hAnsi="Times New Roman" w:cs="Times New Roman"/>
          <w:sz w:val="28"/>
          <w:szCs w:val="28"/>
          <w:lang w:val="be-BY"/>
        </w:rPr>
      </w:pPr>
    </w:p>
    <w:p w14:paraId="6272C090" w14:textId="77777777" w:rsidR="006A0422" w:rsidRDefault="006A0422" w:rsidP="00B549A3">
      <w:pPr>
        <w:spacing w:after="0" w:line="240" w:lineRule="auto"/>
        <w:jc w:val="both"/>
        <w:rPr>
          <w:rFonts w:ascii="Times New Roman" w:hAnsi="Times New Roman" w:cs="Times New Roman"/>
          <w:sz w:val="28"/>
          <w:szCs w:val="28"/>
          <w:lang w:val="be-BY"/>
        </w:rPr>
      </w:pPr>
    </w:p>
    <w:p w14:paraId="67524A9F" w14:textId="77777777" w:rsidR="006A0422" w:rsidRDefault="006A0422" w:rsidP="00B549A3">
      <w:pPr>
        <w:spacing w:after="0" w:line="240" w:lineRule="auto"/>
        <w:jc w:val="both"/>
        <w:rPr>
          <w:rFonts w:ascii="Times New Roman" w:hAnsi="Times New Roman" w:cs="Times New Roman"/>
          <w:sz w:val="28"/>
          <w:szCs w:val="28"/>
          <w:lang w:val="be-BY"/>
        </w:rPr>
      </w:pPr>
    </w:p>
    <w:p w14:paraId="5B05AEB2" w14:textId="616F5721" w:rsidR="009E2A97" w:rsidRDefault="009E2A97">
      <w:pPr>
        <w:rPr>
          <w:rFonts w:ascii="Times New Roman" w:hAnsi="Times New Roman" w:cs="Times New Roman"/>
          <w:sz w:val="28"/>
          <w:szCs w:val="28"/>
          <w:lang w:val="be-BY"/>
        </w:rPr>
      </w:pPr>
      <w:r>
        <w:rPr>
          <w:rFonts w:ascii="Times New Roman" w:hAnsi="Times New Roman" w:cs="Times New Roman"/>
          <w:sz w:val="28"/>
          <w:szCs w:val="28"/>
          <w:lang w:val="be-BY"/>
        </w:rPr>
        <w:br w:type="page"/>
      </w:r>
    </w:p>
    <w:p w14:paraId="496642AC" w14:textId="0E39F52A" w:rsidR="00F026C4" w:rsidRPr="00EC5C04" w:rsidRDefault="00A42106" w:rsidP="00EC5C04">
      <w:pPr>
        <w:pStyle w:val="1"/>
      </w:pPr>
      <w:bookmarkStart w:id="95" w:name="_ВЕЛИКАЯ_ОТЕЧЕСТВЕННАЯ_ВОЙНА:"/>
      <w:bookmarkStart w:id="96" w:name="_Toc181894111"/>
      <w:bookmarkEnd w:id="95"/>
      <w:r w:rsidRPr="00EC5C04">
        <w:lastRenderedPageBreak/>
        <w:t>ВСЕМИРНАЯ ИСТОРИЯ. КУЛЬТУРА. ПОЛИТИКА</w:t>
      </w:r>
      <w:bookmarkEnd w:id="96"/>
    </w:p>
    <w:p w14:paraId="73189A3F" w14:textId="77777777" w:rsidR="00F026C4" w:rsidRPr="00F7633C" w:rsidRDefault="00F026C4" w:rsidP="00E25B19">
      <w:pPr>
        <w:spacing w:after="0" w:line="240" w:lineRule="auto"/>
        <w:ind w:firstLine="709"/>
        <w:rPr>
          <w:rFonts w:ascii="Times New Roman" w:hAnsi="Times New Roman" w:cs="Times New Roman"/>
          <w:sz w:val="28"/>
          <w:lang w:val="be-BY"/>
        </w:rPr>
      </w:pPr>
    </w:p>
    <w:p w14:paraId="11E253F5" w14:textId="77777777" w:rsidR="00F026C4" w:rsidRDefault="00F026C4" w:rsidP="00E25B19">
      <w:pPr>
        <w:spacing w:after="0" w:line="240" w:lineRule="auto"/>
        <w:ind w:firstLine="709"/>
        <w:rPr>
          <w:rFonts w:ascii="Times New Roman" w:hAnsi="Times New Roman" w:cs="Times New Roman"/>
          <w:sz w:val="28"/>
          <w:lang w:val="be-BY"/>
        </w:rPr>
      </w:pPr>
    </w:p>
    <w:p w14:paraId="0E5B4659" w14:textId="77777777" w:rsidR="00A42106" w:rsidRPr="00BC0462" w:rsidRDefault="00A42106" w:rsidP="00BC0462">
      <w:pPr>
        <w:pStyle w:val="12"/>
      </w:pPr>
      <w:r w:rsidRPr="00BC0462">
        <w:t>УДК 904</w:t>
      </w:r>
    </w:p>
    <w:p w14:paraId="299476E3" w14:textId="5F376602" w:rsidR="00A42106" w:rsidRDefault="00BC0462" w:rsidP="00BC0462">
      <w:pPr>
        <w:pStyle w:val="14"/>
      </w:pPr>
      <w:bookmarkStart w:id="97" w:name="_Toc181894112"/>
      <w:r>
        <w:t>Р.В. Михаленя</w:t>
      </w:r>
      <w:bookmarkEnd w:id="97"/>
    </w:p>
    <w:p w14:paraId="5EA68046" w14:textId="3F55C5DD" w:rsidR="00A42106" w:rsidRDefault="00A42106" w:rsidP="00BC0462">
      <w:pPr>
        <w:pStyle w:val="3"/>
      </w:pPr>
      <w:r>
        <w:t>Брест, БрГУ им. А.С. Пушкина</w:t>
      </w:r>
    </w:p>
    <w:p w14:paraId="3493E342" w14:textId="11A48FFA" w:rsidR="00A42106" w:rsidRDefault="00A42106" w:rsidP="00BC0462">
      <w:pPr>
        <w:pStyle w:val="4"/>
      </w:pPr>
      <w:r>
        <w:t>Научный руководитель: Л.В. Харичкова, к.и.н., доцент</w:t>
      </w:r>
    </w:p>
    <w:p w14:paraId="28822F0C" w14:textId="77777777" w:rsidR="00A42106" w:rsidRDefault="00A42106" w:rsidP="00A42106">
      <w:pPr>
        <w:spacing w:after="0" w:line="240" w:lineRule="auto"/>
        <w:ind w:firstLine="709"/>
        <w:jc w:val="both"/>
        <w:rPr>
          <w:rFonts w:ascii="Times New Roman" w:eastAsia="Calibri" w:hAnsi="Times New Roman" w:cs="Times New Roman"/>
          <w:sz w:val="28"/>
          <w:szCs w:val="28"/>
        </w:rPr>
      </w:pPr>
    </w:p>
    <w:p w14:paraId="2553B18F" w14:textId="62EB7E5C" w:rsidR="00A42106" w:rsidRDefault="00A42106" w:rsidP="00BC0462">
      <w:pPr>
        <w:pStyle w:val="5"/>
      </w:pPr>
      <w:r w:rsidRPr="005C5424">
        <w:t>Формирование самостоятельных провинциальных образований</w:t>
      </w:r>
      <w:r w:rsidR="00BC0462">
        <w:t xml:space="preserve"> РИМСКОЙ ИМПЕРИИ</w:t>
      </w:r>
      <w:r w:rsidR="00833184">
        <w:t>: причины, проявления</w:t>
      </w:r>
    </w:p>
    <w:p w14:paraId="16CF7865" w14:textId="77777777" w:rsidR="00A42106" w:rsidRDefault="00A42106" w:rsidP="00BC0462">
      <w:pPr>
        <w:pStyle w:val="7"/>
      </w:pPr>
    </w:p>
    <w:p w14:paraId="3220BCEA" w14:textId="03BEADDA" w:rsidR="00A42106" w:rsidRDefault="008025FB" w:rsidP="00BC0462">
      <w:pPr>
        <w:pStyle w:val="7"/>
      </w:pPr>
      <w:r w:rsidRPr="008025FB">
        <w:rPr>
          <w:rFonts w:eastAsia="SimSun" w:cs="Mangal"/>
          <w:i/>
          <w:spacing w:val="-2"/>
          <w:kern w:val="3"/>
          <w:sz w:val="24"/>
          <w:lang w:val="be-BY" w:eastAsia="zh-CN" w:bidi="hi-IN"/>
        </w:rPr>
        <w:t>В статье представлено исследование политических образований, возникших в провинциях Римской империи во второй половине III в. Основной задачей исследования является изучение основных причин роста провинциального сепаратизма во время кризиса, явления, которые сопровождали процесс роста автономии провинций и их влияние на последующее формирование политических образований в провинциях Римской империи.</w:t>
      </w:r>
    </w:p>
    <w:p w14:paraId="4520277D" w14:textId="77777777" w:rsidR="008025FB" w:rsidRDefault="008025FB" w:rsidP="00BC0462">
      <w:pPr>
        <w:pStyle w:val="7"/>
      </w:pPr>
    </w:p>
    <w:p w14:paraId="1917D404"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Рост провинциальной автономии не был совсем новым явлением в Римской истории. Провинциальные элиты неоднократно предпринимали меры по упрочению собственной власти, что толкало нобилей к поддержке узурпатора как из своих, так и потенциально связанных с определённой областью военачальников. Наибольшую политическую активность проявляли прирейнские, придунайские и ряд восточных провинций. Данный факт объясняется большой концентрацией легионов на опасных участках границы. В следствие структурных, социальных и политических изменений в римской армии командование легионов фактически срослось с высшей политической верхушкой провинциальной знати. Теперь высшее офицерство комплектовалось полностью из представителей той провинции, где было размещено подразделение. Результатом данных изменений стала настоящая лавина узурпаторов, провозглашавших себя император</w:t>
      </w:r>
      <w:r>
        <w:rPr>
          <w:rFonts w:ascii="Times New Roman" w:eastAsia="Calibri" w:hAnsi="Times New Roman" w:cs="Times New Roman"/>
          <w:sz w:val="28"/>
          <w:szCs w:val="28"/>
        </w:rPr>
        <w:t>а</w:t>
      </w:r>
      <w:r w:rsidRPr="00393281">
        <w:rPr>
          <w:rFonts w:ascii="Times New Roman" w:eastAsia="Calibri" w:hAnsi="Times New Roman" w:cs="Times New Roman"/>
          <w:sz w:val="28"/>
          <w:szCs w:val="28"/>
        </w:rPr>
        <w:t>м</w:t>
      </w:r>
      <w:r>
        <w:rPr>
          <w:rFonts w:ascii="Times New Roman" w:eastAsia="Calibri" w:hAnsi="Times New Roman" w:cs="Times New Roman"/>
          <w:sz w:val="28"/>
          <w:szCs w:val="28"/>
        </w:rPr>
        <w:t>и</w:t>
      </w:r>
      <w:r w:rsidRPr="00393281">
        <w:rPr>
          <w:rFonts w:ascii="Times New Roman" w:eastAsia="Calibri" w:hAnsi="Times New Roman" w:cs="Times New Roman"/>
          <w:sz w:val="28"/>
          <w:szCs w:val="28"/>
        </w:rPr>
        <w:t xml:space="preserve"> во время политических кризисов, которые часто сотрясали Рим в условиях внутриполитического хаоса.</w:t>
      </w:r>
    </w:p>
    <w:p w14:paraId="422D6B4E"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 xml:space="preserve">  В 259 или 260 г. на Рейнской границе восстал военачальник Постум. Сам претендент происходил из романизированных галлов и, как подчёркивал Евтропий: «был самого тёмного происхождения», то есть при рождении принадлежал к низам общества. Естественно, что единственным социальным лифтом для юноши с совсем незначительными возможностями являлась армия</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[5</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xml:space="preserve">. 449]. Будучи достаточно умным человеком, Постум быстро одержал ряд побед над варварами и вскоре добился назначения наместником Верхней и Нижней Германии. К 259 г. началась подготовка </w:t>
      </w:r>
      <w:r w:rsidRPr="00393281">
        <w:rPr>
          <w:rFonts w:ascii="Times New Roman" w:eastAsia="Calibri" w:hAnsi="Times New Roman" w:cs="Times New Roman"/>
          <w:sz w:val="28"/>
          <w:szCs w:val="28"/>
        </w:rPr>
        <w:lastRenderedPageBreak/>
        <w:t>похода императора на племя алеманнов, что привело к привлечению Постума как помощника [1</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756]. Однако из-за восстаний в Паннонии Галлиен был вынужден покинуть Германию, доверив продолжение подготовки армии своему сыну Салонину, префекту претория Сильвану и Постуму. Пока император отсутствовал Постум вступил в конфликт с сыном императора и префектом, что привело к их осаде в Колонии Аргиппина и скорой смерти. О причинах ссоры нет конкретных упоминаний, хотя Зонара упоминает историю, согласно которой войска Постума разбили варваров, совершавших опустошающие набеги на Галлию. Легионеры принялись делить добычу, но вступили в конфликт с наследником и префектом, которые требовали передать добычу в полном объёме в их распоряжение. За легионеров вступился Постум и большая часть войска, что привело к отступлению Салонина и Сильвана в Колонию Агриппина, где они и укрепились в надежде дождаться прихода Галлиена и совместными силами разобраться с мятежом. Однако помощь так и не прибыла, что привело к тому, что обоих предводителей выдал гарнизон, после чего они оба были казнены [3</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122].</w:t>
      </w:r>
    </w:p>
    <w:p w14:paraId="637A5E9C"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Понимая, что убийство наследника и второго по важности человека в империи уже ставит его в конфронтацию с центральной властью, Постум объявляет себя императором. Тем не менее в дальнейших его действиях появляются странные и нелогичные решения. Так</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вопреки распространённой практике он не совершает стремительное наступление на Рим, хотя очевидно, что в условиях подавления восстания в Иллирии существенного воинского контингента в Италии нет, а значит Рим становится уязвим перед возможностью захвата. Однако, вместо этого на территории Галли, Британии и Испании начинается формирование полноценного автономного образования известного как Галльская империя. Де</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юре, данное образование не являлось полноценной Римской империей, но де</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факто, практически полностью копировало его управленческую структуру. В столице империи Колонии Агриппина (совр. Кёльн) имелись два консула, которыми пять раз становился сам Постум и в </w:t>
      </w:r>
      <w:r>
        <w:rPr>
          <w:rFonts w:ascii="Times New Roman" w:eastAsia="Calibri" w:hAnsi="Times New Roman" w:cs="Times New Roman"/>
          <w:sz w:val="28"/>
          <w:szCs w:val="28"/>
        </w:rPr>
        <w:t>ш</w:t>
      </w:r>
      <w:r w:rsidRPr="00393281">
        <w:rPr>
          <w:rFonts w:ascii="Times New Roman" w:eastAsia="Calibri" w:hAnsi="Times New Roman" w:cs="Times New Roman"/>
          <w:sz w:val="28"/>
          <w:szCs w:val="28"/>
        </w:rPr>
        <w:t>естой раз Постум и его преемник Викторин. Имелась своя преторианская гвардия, которую собрали из представителей романизированных варваров и отрядов германцев. И по некоторым данным, был создан свой сенат. Однако, это подтверждается лишь ходившей в то время сенатской монетой, что на практике могло означать неформальное разрешение от Постума на её оборот. Тем не менее, провозглашение нового государства бросало такой же серьёзный вызов власти Галлиена [3</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xml:space="preserve">. 123]. Это могло в очень короткий срок привести </w:t>
      </w:r>
      <w:r>
        <w:rPr>
          <w:rFonts w:ascii="Times New Roman" w:eastAsia="Calibri" w:hAnsi="Times New Roman" w:cs="Times New Roman"/>
          <w:sz w:val="28"/>
          <w:szCs w:val="28"/>
        </w:rPr>
        <w:t>к</w:t>
      </w:r>
      <w:r w:rsidRPr="00393281">
        <w:rPr>
          <w:rFonts w:ascii="Times New Roman" w:eastAsia="Calibri" w:hAnsi="Times New Roman" w:cs="Times New Roman"/>
          <w:sz w:val="28"/>
          <w:szCs w:val="28"/>
        </w:rPr>
        <w:t xml:space="preserve"> ряду восстаний по всей империи и появлению таких же сепаратистских образований, которые могли только усугубить тяжесть кризиса.</w:t>
      </w:r>
    </w:p>
    <w:p w14:paraId="688C6741"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lastRenderedPageBreak/>
        <w:t>Естественно, что не только Галлия являлась центром всеобщего внимания на протяжении 260 г. На Востоке ситуация была не менее тяжёлая. В 260 г. император Валериан попал в плен к персидскому царю Шапуру. Фактически в результате этой катастрофы весь Восток империи оказался без способного лидера</w:t>
      </w:r>
      <w:r>
        <w:rPr>
          <w:rFonts w:ascii="Times New Roman" w:eastAsia="Calibri" w:hAnsi="Times New Roman" w:cs="Times New Roman"/>
          <w:sz w:val="28"/>
          <w:szCs w:val="28"/>
        </w:rPr>
        <w:t>, т</w:t>
      </w:r>
      <w:r w:rsidRPr="00393281">
        <w:rPr>
          <w:rFonts w:ascii="Times New Roman" w:eastAsia="Calibri" w:hAnsi="Times New Roman" w:cs="Times New Roman"/>
          <w:sz w:val="28"/>
          <w:szCs w:val="28"/>
        </w:rPr>
        <w:t>ак как император Галлиен был занят подавлением восстаний в Иллирии и борьбой с Постумом. Воспользовавшись ситуацией</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Шапур вторгся с огромным войском в Сирию</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вероятно</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надеясь либо на получение большого количества добычи, либо на присоединении Сирии и ряда смежных провинций к империи Сасанидов. Без руководства императора силы </w:t>
      </w:r>
      <w:r>
        <w:rPr>
          <w:rFonts w:ascii="Times New Roman" w:eastAsia="Calibri" w:hAnsi="Times New Roman" w:cs="Times New Roman"/>
          <w:sz w:val="28"/>
          <w:szCs w:val="28"/>
        </w:rPr>
        <w:t>и</w:t>
      </w:r>
      <w:r w:rsidRPr="00393281">
        <w:rPr>
          <w:rFonts w:ascii="Times New Roman" w:eastAsia="Calibri" w:hAnsi="Times New Roman" w:cs="Times New Roman"/>
          <w:sz w:val="28"/>
          <w:szCs w:val="28"/>
        </w:rPr>
        <w:t xml:space="preserve">мперии на востоке были сильно дезорганизованы, но смогли установить оборону в Каппадокии и не допустить проникновения персов в Малую Азию, однако по-прежнему не могли в решающем бою отразить наступление персов. </w:t>
      </w:r>
    </w:p>
    <w:p w14:paraId="6D62079F"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В это время Шапуру было нанесено серьёзное поражение у Е</w:t>
      </w:r>
      <w:r>
        <w:rPr>
          <w:rFonts w:ascii="Times New Roman" w:eastAsia="Calibri" w:hAnsi="Times New Roman" w:cs="Times New Roman"/>
          <w:sz w:val="28"/>
          <w:szCs w:val="28"/>
        </w:rPr>
        <w:t>в</w:t>
      </w:r>
      <w:r w:rsidRPr="00393281">
        <w:rPr>
          <w:rFonts w:ascii="Times New Roman" w:eastAsia="Calibri" w:hAnsi="Times New Roman" w:cs="Times New Roman"/>
          <w:sz w:val="28"/>
          <w:szCs w:val="28"/>
        </w:rPr>
        <w:t>фрата представителем городской знати Пальмиры Оденатом. Оденат был представителем нобилитета богатого торгового города Пальмира, который благодаря удачному расположению на важных торговых путях быстро возвысился на территории Сирии. В условиях активной экспансии Сасанидов и поражения Валериана городу предстояло сделать свой выбор в пользу персов или римлян. Первоначально городские верхи склонялись к принятию вассалитета от шахиншаха. По легенде</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было послано посольство к Шапуру, но тот грубо обошёлся с присланными ему дарами и потребовал безоговорочного подчинения [3</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120], что городская знать явно не оценила. Данное событие привело к битве у переправы через Е</w:t>
      </w:r>
      <w:r>
        <w:rPr>
          <w:rFonts w:ascii="Times New Roman" w:eastAsia="Calibri" w:hAnsi="Times New Roman" w:cs="Times New Roman"/>
          <w:sz w:val="28"/>
          <w:szCs w:val="28"/>
        </w:rPr>
        <w:t>в</w:t>
      </w:r>
      <w:r w:rsidRPr="00393281">
        <w:rPr>
          <w:rFonts w:ascii="Times New Roman" w:eastAsia="Calibri" w:hAnsi="Times New Roman" w:cs="Times New Roman"/>
          <w:sz w:val="28"/>
          <w:szCs w:val="28"/>
        </w:rPr>
        <w:t>фрат, которую пальмирцы и Оденат выиграли.  Разгром персов у Е</w:t>
      </w:r>
      <w:r>
        <w:rPr>
          <w:rFonts w:ascii="Times New Roman" w:eastAsia="Calibri" w:hAnsi="Times New Roman" w:cs="Times New Roman"/>
          <w:sz w:val="28"/>
          <w:szCs w:val="28"/>
        </w:rPr>
        <w:t>в</w:t>
      </w:r>
      <w:r w:rsidRPr="00393281">
        <w:rPr>
          <w:rFonts w:ascii="Times New Roman" w:eastAsia="Calibri" w:hAnsi="Times New Roman" w:cs="Times New Roman"/>
          <w:sz w:val="28"/>
          <w:szCs w:val="28"/>
        </w:rPr>
        <w:t xml:space="preserve">фрата позволил Оденату и городу заработать необходимый престиж и влияние как защитник </w:t>
      </w:r>
      <w:r>
        <w:rPr>
          <w:rFonts w:ascii="Times New Roman" w:eastAsia="Calibri" w:hAnsi="Times New Roman" w:cs="Times New Roman"/>
          <w:sz w:val="28"/>
          <w:szCs w:val="28"/>
        </w:rPr>
        <w:t>и</w:t>
      </w:r>
      <w:r w:rsidRPr="00393281">
        <w:rPr>
          <w:rFonts w:ascii="Times New Roman" w:eastAsia="Calibri" w:hAnsi="Times New Roman" w:cs="Times New Roman"/>
          <w:sz w:val="28"/>
          <w:szCs w:val="28"/>
        </w:rPr>
        <w:t xml:space="preserve">мперии от персов.   Очевидно понимая, что конфронтация с императором не позволит Пальмире на абсолютно законных основаниях расширить сферу своего влияния на весь </w:t>
      </w:r>
      <w:r>
        <w:rPr>
          <w:rFonts w:ascii="Times New Roman" w:eastAsia="Calibri" w:hAnsi="Times New Roman" w:cs="Times New Roman"/>
          <w:sz w:val="28"/>
          <w:szCs w:val="28"/>
        </w:rPr>
        <w:t>в</w:t>
      </w:r>
      <w:r w:rsidRPr="00393281">
        <w:rPr>
          <w:rFonts w:ascii="Times New Roman" w:eastAsia="Calibri" w:hAnsi="Times New Roman" w:cs="Times New Roman"/>
          <w:sz w:val="28"/>
          <w:szCs w:val="28"/>
        </w:rPr>
        <w:t xml:space="preserve">осток </w:t>
      </w:r>
      <w:r>
        <w:rPr>
          <w:rFonts w:ascii="Times New Roman" w:eastAsia="Calibri" w:hAnsi="Times New Roman" w:cs="Times New Roman"/>
          <w:sz w:val="28"/>
          <w:szCs w:val="28"/>
        </w:rPr>
        <w:t>и</w:t>
      </w:r>
      <w:r w:rsidRPr="00393281">
        <w:rPr>
          <w:rFonts w:ascii="Times New Roman" w:eastAsia="Calibri" w:hAnsi="Times New Roman" w:cs="Times New Roman"/>
          <w:sz w:val="28"/>
          <w:szCs w:val="28"/>
        </w:rPr>
        <w:t xml:space="preserve">мперии, Оденат решает действовать. Он объявляет войну узурпаторам Макриану и Баллисту. В ходе дальнейшей борьбы Оденат устраняет узурпаторов, чем заслуживает лояльность императора Галлиена. В благодарность за верность Оденат был назначен полномочным представителем императора, получив звание, до того неизвестное – «вождь римлян на Востоке». Отныне все римские силы в восточных областях империи были официально подчинены Оденату. Любое противодействие ему стало рассматриваться как нелояльность по отношению к Галлиену. Таким образом, к 270 г. на территории Римской империи появилось два самостоятельных образования, которые напрямую не подчинялись центральному правительству. </w:t>
      </w:r>
      <w:r w:rsidRPr="00ED0051">
        <w:rPr>
          <w:rFonts w:ascii="Times New Roman" w:eastAsia="Calibri" w:hAnsi="Times New Roman" w:cs="Times New Roman"/>
          <w:sz w:val="28"/>
          <w:szCs w:val="28"/>
        </w:rPr>
        <w:t xml:space="preserve">Однако вопреки ярким чертам, позволяющим говорить о полноценном сепаратистском </w:t>
      </w:r>
      <w:r w:rsidRPr="00ED0051">
        <w:rPr>
          <w:rFonts w:ascii="Times New Roman" w:eastAsia="Calibri" w:hAnsi="Times New Roman" w:cs="Times New Roman"/>
          <w:sz w:val="28"/>
          <w:szCs w:val="28"/>
        </w:rPr>
        <w:lastRenderedPageBreak/>
        <w:t>образовании, имеется множество оснований опровергнуть данное утверждение</w:t>
      </w:r>
      <w:r w:rsidRPr="00393281">
        <w:rPr>
          <w:rFonts w:ascii="Times New Roman" w:eastAsia="Calibri" w:hAnsi="Times New Roman" w:cs="Times New Roman"/>
          <w:sz w:val="28"/>
          <w:szCs w:val="28"/>
        </w:rPr>
        <w:t xml:space="preserve">. </w:t>
      </w:r>
    </w:p>
    <w:p w14:paraId="64CB44E3"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 xml:space="preserve">Если исследовать деятельность Постума как императора Галли, то можно увидеть, что фактически он заявил о претензиях на общеимперскую власть. В дошедших до нас монетах достаточно символики, где постоянно указывается претензия Постума на верховную власть в Риме. Вероятнее всего, после убийства Салонина и Сильвана Постум собирался двинуть легионы на Рим, воспользовавшись занятостью императора в Иллирии. </w:t>
      </w:r>
      <w:r>
        <w:rPr>
          <w:rFonts w:ascii="Times New Roman" w:eastAsia="Calibri" w:hAnsi="Times New Roman" w:cs="Times New Roman"/>
          <w:sz w:val="28"/>
          <w:szCs w:val="28"/>
        </w:rPr>
        <w:t xml:space="preserve">Однако </w:t>
      </w:r>
      <w:r w:rsidRPr="00393281">
        <w:rPr>
          <w:rFonts w:ascii="Times New Roman" w:eastAsia="Calibri" w:hAnsi="Times New Roman" w:cs="Times New Roman"/>
          <w:sz w:val="28"/>
          <w:szCs w:val="28"/>
        </w:rPr>
        <w:t>легионы отказались подчиняться претенденту и идти в Италию, так как не желали оголять рейнскую границу. Тем более, что сохранялась серьёзная угроза германских набегов. Отказали в поддержке претенденту и представители высшей земельной аристократии, так как справедливо опасались опустошительных вторжений варваров [1</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xml:space="preserve">. 758]. </w:t>
      </w:r>
    </w:p>
    <w:p w14:paraId="651EA87B"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Оказавшись в условиях отсутствия весомой поддержки при постоянной угрозе вторжения варваров и карательной армии, Постум нанёс удар по варварам. Он нанёс ряд поражений алеманнам, чем заработал себе необходимый престиж. В результате этого знать западных провинций пошла на договор с военачальником, что позволило ему лучше контролировать провинции. О своей лояльности заявили и прирейнские легионы, а мелкий и сельский люмпен</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пролетариат и так был за претендента [5</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rPr>
        <w:t>448]. Однако, даже несмотря на данные успехи, поход в Италию Постум осуществить так и не смог. Основной причиной служит по-прежнему нежелание легионеров отходить далеко от границы с варварами. Знать же не желала финансировать столь дорогостоящее предприятие претендента, так как оно не несло никакой выгоды провинциальному землевладению. Таким образом, Посту</w:t>
      </w:r>
      <w:r>
        <w:rPr>
          <w:rFonts w:ascii="Times New Roman" w:eastAsia="Calibri" w:hAnsi="Times New Roman" w:cs="Times New Roman"/>
          <w:sz w:val="28"/>
          <w:szCs w:val="28"/>
        </w:rPr>
        <w:t>м</w:t>
      </w:r>
      <w:r w:rsidRPr="00393281">
        <w:rPr>
          <w:rFonts w:ascii="Times New Roman" w:eastAsia="Calibri" w:hAnsi="Times New Roman" w:cs="Times New Roman"/>
          <w:sz w:val="28"/>
          <w:szCs w:val="28"/>
        </w:rPr>
        <w:t xml:space="preserve"> и его преемники стали ситуационными кризис</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менеджерами на Западе империи, хоть и заявлявшие претензию на всю верховную власть Рима, но получающие поддержку только в случае, активной борьбы с внешнеполитической варварской угрозой [3</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123]. Однако, с ослабеванием варварского натиска и по мере роста обороноспособности и результативности работы центрального правительства симпатии городского и сельского населения, а также провинциальной знати всё чаще оказывались на стороне Римских императоров. Это, а также постоянные поражения от варваров, которые терпели преемники Постума, обусловили еще и потерю авторитета у войск Запада империи. Всё вышеперечисленное сделало невозможным попытки сопротивления преемников Постума в лице Викторина и Тетрика перед вторжением войск императора Аврелиана.</w:t>
      </w:r>
    </w:p>
    <w:p w14:paraId="643265BA"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 xml:space="preserve">Вопреки крепкой системе политических отношений, выстроенных Оденатом, которые позволяли ему контролировать смежные с Пальмирой провинции Востока империи, власть царя не была абсолютной. Даже </w:t>
      </w:r>
      <w:r w:rsidRPr="00393281">
        <w:rPr>
          <w:rFonts w:ascii="Times New Roman" w:eastAsia="Calibri" w:hAnsi="Times New Roman" w:cs="Times New Roman"/>
          <w:sz w:val="28"/>
          <w:szCs w:val="28"/>
        </w:rPr>
        <w:lastRenderedPageBreak/>
        <w:t xml:space="preserve">одержав победу над персами и претендентами на императорскую власть, проведя ответный поход на персов и пользуясь широкой автономией на востоке, Пальмира продолжала оставаться выразителем интересов Рима. Основой его политической власти на </w:t>
      </w:r>
      <w:r>
        <w:rPr>
          <w:rFonts w:ascii="Times New Roman" w:eastAsia="Calibri" w:hAnsi="Times New Roman" w:cs="Times New Roman"/>
          <w:sz w:val="28"/>
          <w:szCs w:val="28"/>
        </w:rPr>
        <w:t>В</w:t>
      </w:r>
      <w:r w:rsidRPr="00393281">
        <w:rPr>
          <w:rFonts w:ascii="Times New Roman" w:eastAsia="Calibri" w:hAnsi="Times New Roman" w:cs="Times New Roman"/>
          <w:sz w:val="28"/>
          <w:szCs w:val="28"/>
        </w:rPr>
        <w:t>остоке являлся титул главнокомандующего римскими войсками на Востоке (dux totius Orientis) [3</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rPr>
        <w:t>124]. Благодаря обширным полномочиям</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дарованным ему императором, Оденат мог диктовать условия своей власти большинству провинций восточной части империи.  Тем не менее, несмотря на значительное влияние, правитель Пальмиры продолжал, пусть и на словах, но сохранять верность центральной власти. Данное обстоятельство подтверждают и два похода Пальмиры против персов, основной целью которых была не столько месть за поход Валериана, сколько попытка успокоить ситуацию на восточной границе путём ослабления Сасанидской империи. В данном случае можно утверждать, что интересы Галлиена и Одената полностью совпадали. Однако, в остальном Пальмира была достаточно пассивным вассалом императора, не стремившемся поддержать центральную власть без прямой выгоды для себя. </w:t>
      </w:r>
    </w:p>
    <w:p w14:paraId="7C7571C0"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 xml:space="preserve">Ситуация существенно меняется к концу правления Одената, что связано с ослаблением доверия Галлиена к правителю Пальмиры. Очевидно, что с временной стабилизацией внешнеполитической обстановки император нашёл время для попытки решения накопившихся восточных вопросов. Естественно, что обширная власть пальмирского царя не могла устраивать Галлиена, который решил принять на себя руководство восточными делами. Дальнейшему обострению конфликта помешала смерть царя в 267 г. от заговора. Хотя участие императора в заговоре не подтверждается, есть деталь, указывающая на то, что центральное правительство было в курсе или готовилось заранее. В частности, известно, что сразу после смерти Одената на восток был послан полководец Гераклион с целью поспособствовать переходу управления к сторонникам императора. Однако, экспедиция потерпела поражение от рук пальмирцев, что отсрочило возвращение императорской власти на Восток [3,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rPr>
        <w:t>130].</w:t>
      </w:r>
    </w:p>
    <w:p w14:paraId="4099C325"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Несмотря на данный инцидент, Пальмира продолжала, пусть и на словах, хранить верность императору в Риме. Пришедшая к власти от имени своего сына царица Зенобия, в 267</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270 г. декларировала верность Риму, о чём говорят чеканящийся в Антиохии монеты с изображением императора. Однако [5</w:t>
      </w:r>
      <w:r>
        <w:rPr>
          <w:rFonts w:ascii="Times New Roman" w:eastAsia="Calibri" w:hAnsi="Times New Roman" w:cs="Times New Roman"/>
          <w:sz w:val="28"/>
          <w:szCs w:val="28"/>
        </w:rPr>
        <w:t>,</w:t>
      </w:r>
      <w:r w:rsidRPr="00393281">
        <w:rPr>
          <w:rFonts w:ascii="Times New Roman" w:eastAsia="Calibri" w:hAnsi="Times New Roman" w:cs="Times New Roman"/>
          <w:sz w:val="28"/>
          <w:szCs w:val="28"/>
        </w:rPr>
        <w:t xml:space="preserve">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xml:space="preserve">. 450], Пальмирское царство продолжало существование в качестве вассала Рима с широкими полномочиями. В условиях обострения внутриполитической борьбы и внешнеполитического давления на Рим центральное правительство предпочло проигнорировать действия Пальмирского царства. Подобное положение продолжалось и после воцарения Аврелиана. Об этом свидетельствуют монеты 270 и 271 </w:t>
      </w:r>
      <w:r>
        <w:rPr>
          <w:rFonts w:ascii="Times New Roman" w:eastAsia="Calibri" w:hAnsi="Times New Roman" w:cs="Times New Roman"/>
          <w:sz w:val="28"/>
          <w:szCs w:val="28"/>
        </w:rPr>
        <w:t>г</w:t>
      </w:r>
      <w:r w:rsidRPr="00393281">
        <w:rPr>
          <w:rFonts w:ascii="Times New Roman" w:eastAsia="Calibri" w:hAnsi="Times New Roman" w:cs="Times New Roman"/>
          <w:sz w:val="28"/>
          <w:szCs w:val="28"/>
        </w:rPr>
        <w:t xml:space="preserve">г., где </w:t>
      </w:r>
      <w:r w:rsidRPr="00393281">
        <w:rPr>
          <w:rFonts w:ascii="Times New Roman" w:eastAsia="Calibri" w:hAnsi="Times New Roman" w:cs="Times New Roman"/>
          <w:sz w:val="28"/>
          <w:szCs w:val="28"/>
        </w:rPr>
        <w:lastRenderedPageBreak/>
        <w:t xml:space="preserve">изображался Аврелиан, правда на другой стороне изображался также Вабаллат, что очевидно являлось претензией на статус соправителя при Аврелиане закреплением власти на Востоке [2, </w:t>
      </w:r>
      <w:r w:rsidRPr="00393281">
        <w:rPr>
          <w:rFonts w:ascii="Times New Roman" w:eastAsia="Calibri" w:hAnsi="Times New Roman" w:cs="Times New Roman"/>
          <w:sz w:val="28"/>
          <w:szCs w:val="28"/>
          <w:lang w:val="en-US"/>
        </w:rPr>
        <w:t>c</w:t>
      </w:r>
      <w:r w:rsidRPr="00393281">
        <w:rPr>
          <w:rFonts w:ascii="Times New Roman" w:eastAsia="Calibri" w:hAnsi="Times New Roman" w:cs="Times New Roman"/>
          <w:sz w:val="28"/>
          <w:szCs w:val="28"/>
        </w:rPr>
        <w:t>. 320]. Однако Аврелиан принялся восстанавливать общеимперскую власть на Востоке, что привело к войне с Пальмирским царством.</w:t>
      </w:r>
    </w:p>
    <w:p w14:paraId="65E02799" w14:textId="77777777" w:rsidR="008025FB" w:rsidRPr="00393281" w:rsidRDefault="008025FB" w:rsidP="008025FB">
      <w:pPr>
        <w:spacing w:after="0" w:line="240" w:lineRule="auto"/>
        <w:ind w:firstLine="709"/>
        <w:jc w:val="both"/>
        <w:rPr>
          <w:rFonts w:ascii="Times New Roman" w:eastAsia="Calibri" w:hAnsi="Times New Roman" w:cs="Times New Roman"/>
          <w:sz w:val="28"/>
          <w:szCs w:val="28"/>
        </w:rPr>
      </w:pPr>
      <w:r w:rsidRPr="00393281">
        <w:rPr>
          <w:rFonts w:ascii="Times New Roman" w:eastAsia="Calibri" w:hAnsi="Times New Roman" w:cs="Times New Roman"/>
          <w:sz w:val="28"/>
          <w:szCs w:val="28"/>
        </w:rPr>
        <w:t>Таким образом, несмотря на явный сепаратистский характер провозглашённых образований, на практике данные события являлись лишь следствием кратковременного отчуждения политических элит от интересов центрального правительства на Западе и планомерной целью политической экспансии на Востоке. Галльская империя представляла собой союз отчужденной крупной земледельческой знати и недовольной армии, во главе с деятельными узурпаторами Постумом и Тетриком.  Пальмирское царство даже во времена крайнего охлаждения отношений с Римом продолжало оставаться его вассалом, являясь скорее продуктом политической спайки ряда восточных провинций вокруг Пальмиры и его правителя, коим и продолжило оставаться и после его смерти. Но единственное, что объединяет эти два политических образования, так это итоговое заявление о правах на верховную власть. В остальном, как Галльская империя, так и Пальмирское царство являлись на деле временн</w:t>
      </w:r>
      <w:r>
        <w:rPr>
          <w:rFonts w:ascii="Times New Roman" w:eastAsia="Calibri" w:hAnsi="Times New Roman" w:cs="Times New Roman"/>
          <w:sz w:val="28"/>
          <w:szCs w:val="28"/>
        </w:rPr>
        <w:t>ы</w:t>
      </w:r>
      <w:r w:rsidRPr="00393281">
        <w:rPr>
          <w:rFonts w:ascii="Times New Roman" w:eastAsia="Calibri" w:hAnsi="Times New Roman" w:cs="Times New Roman"/>
          <w:sz w:val="28"/>
          <w:szCs w:val="28"/>
        </w:rPr>
        <w:t xml:space="preserve">ми образованиями, которые могли жить лишь в условиях политического хаоса в 60–70-х </w:t>
      </w:r>
      <w:r>
        <w:rPr>
          <w:rFonts w:ascii="Times New Roman" w:eastAsia="Calibri" w:hAnsi="Times New Roman" w:cs="Times New Roman"/>
          <w:sz w:val="28"/>
          <w:szCs w:val="28"/>
        </w:rPr>
        <w:t>г</w:t>
      </w:r>
      <w:r w:rsidRPr="00393281">
        <w:rPr>
          <w:rFonts w:ascii="Times New Roman" w:eastAsia="Calibri" w:hAnsi="Times New Roman" w:cs="Times New Roman"/>
          <w:sz w:val="28"/>
          <w:szCs w:val="28"/>
        </w:rPr>
        <w:t>г. III в</w:t>
      </w:r>
      <w:r>
        <w:rPr>
          <w:rFonts w:ascii="Times New Roman" w:eastAsia="Calibri" w:hAnsi="Times New Roman" w:cs="Times New Roman"/>
          <w:sz w:val="28"/>
          <w:szCs w:val="28"/>
        </w:rPr>
        <w:t>ека</w:t>
      </w:r>
      <w:r w:rsidRPr="00393281">
        <w:rPr>
          <w:rFonts w:ascii="Times New Roman" w:eastAsia="Calibri" w:hAnsi="Times New Roman" w:cs="Times New Roman"/>
          <w:sz w:val="28"/>
          <w:szCs w:val="28"/>
        </w:rPr>
        <w:t>. В случае стабилизации внешнеполитической и внутриполитической обстановки, формирования сильной власти и укрепления вооруженных сил симпатии не только мелких и средних собственников, но и устремления политических элит вновь возвращались к Риму, что, естественно, выбивало почву из-под ног претендентов и предопределяло их дальнейшее поражение.</w:t>
      </w:r>
    </w:p>
    <w:p w14:paraId="48993386" w14:textId="77777777" w:rsidR="00A42106" w:rsidRDefault="00A42106" w:rsidP="00A42106">
      <w:pPr>
        <w:spacing w:after="0" w:line="216" w:lineRule="auto"/>
        <w:ind w:firstLine="720"/>
        <w:jc w:val="both"/>
        <w:rPr>
          <w:rFonts w:ascii="Times New Roman" w:eastAsia="Calibri" w:hAnsi="Times New Roman" w:cs="Times New Roman"/>
          <w:sz w:val="28"/>
          <w:szCs w:val="28"/>
        </w:rPr>
      </w:pPr>
    </w:p>
    <w:p w14:paraId="749C8558" w14:textId="77777777" w:rsidR="00BC0462" w:rsidRDefault="00BC0462" w:rsidP="00A42106">
      <w:pPr>
        <w:spacing w:after="0" w:line="216" w:lineRule="auto"/>
        <w:ind w:firstLine="720"/>
        <w:jc w:val="both"/>
        <w:rPr>
          <w:rFonts w:ascii="Times New Roman" w:eastAsia="Calibri" w:hAnsi="Times New Roman" w:cs="Times New Roman"/>
          <w:sz w:val="28"/>
          <w:szCs w:val="28"/>
        </w:rPr>
      </w:pPr>
    </w:p>
    <w:p w14:paraId="045D9E55" w14:textId="7763295D" w:rsidR="00A42106" w:rsidRDefault="00A42106" w:rsidP="00BC0462">
      <w:pPr>
        <w:pStyle w:val="8"/>
        <w:numPr>
          <w:ilvl w:val="0"/>
          <w:numId w:val="34"/>
        </w:numPr>
        <w:ind w:left="0" w:firstLine="709"/>
      </w:pPr>
      <w:r>
        <w:t>Ковалёв</w:t>
      </w:r>
      <w:r w:rsidR="00BC0462">
        <w:rPr>
          <w:lang w:val="ru-RU"/>
        </w:rPr>
        <w:t>,</w:t>
      </w:r>
      <w:r>
        <w:t xml:space="preserve"> С.</w:t>
      </w:r>
      <w:r w:rsidR="00BC0462">
        <w:rPr>
          <w:lang w:val="ru-RU"/>
        </w:rPr>
        <w:t xml:space="preserve"> </w:t>
      </w:r>
      <w:r>
        <w:t>И. История Римской империи</w:t>
      </w:r>
      <w:r w:rsidR="00BC0462">
        <w:rPr>
          <w:lang w:val="ru-RU"/>
        </w:rPr>
        <w:t xml:space="preserve"> </w:t>
      </w:r>
      <w:r>
        <w:t>/ С.</w:t>
      </w:r>
      <w:r w:rsidR="00BC0462">
        <w:rPr>
          <w:lang w:val="ru-RU"/>
        </w:rPr>
        <w:t xml:space="preserve"> </w:t>
      </w:r>
      <w:r>
        <w:t xml:space="preserve">И. Ковалёв – </w:t>
      </w:r>
      <w:r w:rsidR="009C0994">
        <w:rPr>
          <w:lang w:val="ru-RU"/>
        </w:rPr>
        <w:br/>
      </w:r>
      <w:r>
        <w:t>СпБ, 2002</w:t>
      </w:r>
      <w:r w:rsidRPr="002630E7">
        <w:t>.</w:t>
      </w:r>
      <w:r w:rsidR="00BC0462">
        <w:rPr>
          <w:lang w:val="ru-RU"/>
        </w:rPr>
        <w:t xml:space="preserve"> –</w:t>
      </w:r>
      <w:r w:rsidRPr="002630E7">
        <w:t xml:space="preserve"> </w:t>
      </w:r>
      <w:r w:rsidR="00BC0462">
        <w:rPr>
          <w:lang w:val="ru-RU"/>
        </w:rPr>
        <w:t>864 с.</w:t>
      </w:r>
    </w:p>
    <w:p w14:paraId="168FDE00" w14:textId="3236D164" w:rsidR="00A42106" w:rsidRDefault="00A42106" w:rsidP="00BC0462">
      <w:pPr>
        <w:pStyle w:val="8"/>
        <w:numPr>
          <w:ilvl w:val="0"/>
          <w:numId w:val="34"/>
        </w:numPr>
        <w:ind w:left="0" w:firstLine="709"/>
      </w:pPr>
      <w:r>
        <w:t>Кузищин</w:t>
      </w:r>
      <w:r w:rsidR="00BC0462">
        <w:rPr>
          <w:lang w:val="ru-RU"/>
        </w:rPr>
        <w:t>,</w:t>
      </w:r>
      <w:r>
        <w:t xml:space="preserve"> В.</w:t>
      </w:r>
      <w:r w:rsidR="00BC0462">
        <w:rPr>
          <w:lang w:val="ru-RU"/>
        </w:rPr>
        <w:t xml:space="preserve"> </w:t>
      </w:r>
      <w:r>
        <w:t>И. История Древнего Рима/ В.</w:t>
      </w:r>
      <w:r w:rsidR="00BC0462">
        <w:rPr>
          <w:lang w:val="ru-RU"/>
        </w:rPr>
        <w:t xml:space="preserve"> </w:t>
      </w:r>
      <w:r>
        <w:t xml:space="preserve">И. Кузищин – </w:t>
      </w:r>
      <w:r w:rsidR="009C0994">
        <w:rPr>
          <w:lang w:val="ru-RU"/>
        </w:rPr>
        <w:br/>
      </w:r>
      <w:r>
        <w:t>М., 2000.</w:t>
      </w:r>
      <w:r w:rsidR="00BC0462">
        <w:rPr>
          <w:lang w:val="ru-RU"/>
        </w:rPr>
        <w:t xml:space="preserve"> –</w:t>
      </w:r>
      <w:r>
        <w:t xml:space="preserve"> 383</w:t>
      </w:r>
      <w:r w:rsidR="00BC0462">
        <w:rPr>
          <w:lang w:val="ru-RU"/>
        </w:rPr>
        <w:t xml:space="preserve"> с.</w:t>
      </w:r>
    </w:p>
    <w:p w14:paraId="2844658A" w14:textId="7C0BC5DC" w:rsidR="00A42106" w:rsidRDefault="00A42106" w:rsidP="00BC0462">
      <w:pPr>
        <w:pStyle w:val="8"/>
        <w:numPr>
          <w:ilvl w:val="0"/>
          <w:numId w:val="34"/>
        </w:numPr>
        <w:ind w:left="0" w:firstLine="709"/>
      </w:pPr>
      <w:r>
        <w:t>Сергеев</w:t>
      </w:r>
      <w:r w:rsidR="00BC0462">
        <w:rPr>
          <w:lang w:val="ru-RU"/>
        </w:rPr>
        <w:t>,</w:t>
      </w:r>
      <w:r>
        <w:t xml:space="preserve"> И.П. Римская империя в </w:t>
      </w:r>
      <w:r w:rsidRPr="00BC0462">
        <w:rPr>
          <w:lang w:val="en-US"/>
        </w:rPr>
        <w:t>III</w:t>
      </w:r>
      <w:r w:rsidRPr="00B57E68">
        <w:t xml:space="preserve"> </w:t>
      </w:r>
      <w:r>
        <w:t>в. н.э./ И.</w:t>
      </w:r>
      <w:r w:rsidR="00BC0462">
        <w:rPr>
          <w:lang w:val="ru-RU"/>
        </w:rPr>
        <w:t xml:space="preserve"> </w:t>
      </w:r>
      <w:r>
        <w:t xml:space="preserve">П. Сергеев – </w:t>
      </w:r>
      <w:r w:rsidR="009C0994">
        <w:rPr>
          <w:lang w:val="ru-RU"/>
        </w:rPr>
        <w:br/>
      </w:r>
      <w:r>
        <w:t>Харьков, 1999</w:t>
      </w:r>
      <w:r w:rsidR="00BC0462">
        <w:rPr>
          <w:lang w:val="ru-RU"/>
        </w:rPr>
        <w:t>. –</w:t>
      </w:r>
      <w:r>
        <w:t xml:space="preserve"> 212</w:t>
      </w:r>
      <w:r w:rsidR="00BC0462">
        <w:rPr>
          <w:lang w:val="ru-RU"/>
        </w:rPr>
        <w:t xml:space="preserve"> с.</w:t>
      </w:r>
    </w:p>
    <w:p w14:paraId="62F83A2B" w14:textId="682634C3" w:rsidR="00A42106" w:rsidRPr="00B57E68" w:rsidRDefault="00A42106" w:rsidP="00BC0462">
      <w:pPr>
        <w:pStyle w:val="8"/>
        <w:numPr>
          <w:ilvl w:val="0"/>
          <w:numId w:val="34"/>
        </w:numPr>
        <w:ind w:left="0" w:firstLine="709"/>
      </w:pPr>
      <w:r w:rsidRPr="00B57E68">
        <w:t>Стучевский, И. А. Пальмира</w:t>
      </w:r>
      <w:r w:rsidR="009C0994">
        <w:rPr>
          <w:lang w:val="ru-RU"/>
        </w:rPr>
        <w:t xml:space="preserve"> </w:t>
      </w:r>
      <w:r w:rsidR="009C0994" w:rsidRPr="00B57E68">
        <w:t>/ И. А. Стучевский</w:t>
      </w:r>
      <w:r w:rsidR="009C0994">
        <w:rPr>
          <w:lang w:val="ru-RU"/>
        </w:rPr>
        <w:t xml:space="preserve"> //</w:t>
      </w:r>
      <w:r>
        <w:t xml:space="preserve"> </w:t>
      </w:r>
      <w:r w:rsidR="00BC0462">
        <w:t>Вопросы истории</w:t>
      </w:r>
      <w:r w:rsidRPr="00B57E68">
        <w:t>– 1970. –  № 2. – С. 211–218.</w:t>
      </w:r>
    </w:p>
    <w:p w14:paraId="67DC780F" w14:textId="6CE71024" w:rsidR="00A42106" w:rsidRDefault="00A42106" w:rsidP="00BC0462">
      <w:pPr>
        <w:pStyle w:val="8"/>
        <w:numPr>
          <w:ilvl w:val="0"/>
          <w:numId w:val="34"/>
        </w:numPr>
        <w:ind w:left="0" w:firstLine="709"/>
      </w:pPr>
      <w:r>
        <w:t>Штаерман</w:t>
      </w:r>
      <w:r w:rsidR="009C0994">
        <w:rPr>
          <w:lang w:val="ru-RU"/>
        </w:rPr>
        <w:t>,</w:t>
      </w:r>
      <w:r>
        <w:t xml:space="preserve"> Е.</w:t>
      </w:r>
      <w:r w:rsidR="009C0994">
        <w:rPr>
          <w:lang w:val="ru-RU"/>
        </w:rPr>
        <w:t xml:space="preserve"> </w:t>
      </w:r>
      <w:r>
        <w:t>М. Кризис рабовладельческого строя в Западных провинциях Римской империи</w:t>
      </w:r>
      <w:r w:rsidR="009C0994">
        <w:rPr>
          <w:lang w:val="ru-RU"/>
        </w:rPr>
        <w:t xml:space="preserve"> </w:t>
      </w:r>
      <w:r>
        <w:t>/ Е.</w:t>
      </w:r>
      <w:r w:rsidR="009C0994">
        <w:rPr>
          <w:lang w:val="ru-RU"/>
        </w:rPr>
        <w:t xml:space="preserve"> </w:t>
      </w:r>
      <w:r>
        <w:t>М. Штаерман – М., 1957</w:t>
      </w:r>
      <w:r w:rsidR="009C0994">
        <w:rPr>
          <w:lang w:val="ru-RU"/>
        </w:rPr>
        <w:t>.</w:t>
      </w:r>
      <w:r>
        <w:t xml:space="preserve"> – 511</w:t>
      </w:r>
      <w:r w:rsidR="009C0994">
        <w:rPr>
          <w:lang w:val="ru-RU"/>
        </w:rPr>
        <w:t xml:space="preserve"> с</w:t>
      </w:r>
      <w:r>
        <w:t>.</w:t>
      </w:r>
    </w:p>
    <w:p w14:paraId="0FF6BBA2" w14:textId="77777777" w:rsidR="00A42106" w:rsidRPr="00B57E68" w:rsidRDefault="00A42106" w:rsidP="00A42106">
      <w:pPr>
        <w:spacing w:after="0" w:line="216" w:lineRule="auto"/>
        <w:ind w:left="720"/>
        <w:jc w:val="both"/>
        <w:rPr>
          <w:rFonts w:ascii="Times New Roman" w:eastAsia="Calibri" w:hAnsi="Times New Roman" w:cs="Times New Roman"/>
          <w:sz w:val="28"/>
          <w:szCs w:val="28"/>
        </w:rPr>
      </w:pPr>
    </w:p>
    <w:p w14:paraId="666C0D1B" w14:textId="77777777" w:rsidR="009E2A97" w:rsidRPr="00EF68E3" w:rsidRDefault="000C69B3" w:rsidP="009E2A97">
      <w:pPr>
        <w:pStyle w:val="Standard"/>
        <w:jc w:val="center"/>
        <w:rPr>
          <w:rFonts w:ascii="Times New Roman" w:hAnsi="Times New Roman" w:cs="Times New Roman"/>
          <w:i/>
          <w:sz w:val="28"/>
          <w:szCs w:val="28"/>
          <w:lang w:val="be-BY"/>
        </w:rPr>
      </w:pPr>
      <w:hyperlink w:anchor="_СОДЕРЖАНИЕ" w:history="1">
        <w:r w:rsidR="009E2A97" w:rsidRPr="00EF68E3">
          <w:rPr>
            <w:rStyle w:val="a9"/>
            <w:rFonts w:ascii="Times New Roman" w:hAnsi="Times New Roman" w:cs="Times New Roman"/>
            <w:i/>
            <w:color w:val="auto"/>
            <w:sz w:val="28"/>
            <w:szCs w:val="28"/>
            <w:u w:val="none"/>
            <w:lang w:val="be-BY"/>
          </w:rPr>
          <w:t>К содержанию</w:t>
        </w:r>
      </w:hyperlink>
    </w:p>
    <w:p w14:paraId="5D32DF95" w14:textId="77777777" w:rsidR="008025FB" w:rsidRDefault="008025FB" w:rsidP="009E2A97">
      <w:pPr>
        <w:pStyle w:val="12"/>
        <w:rPr>
          <w:lang w:val="ru-RU" w:eastAsia="ru-RU"/>
        </w:rPr>
      </w:pPr>
    </w:p>
    <w:p w14:paraId="4BB59897" w14:textId="77777777" w:rsidR="002E4BD4" w:rsidRDefault="002E4BD4" w:rsidP="009E2A97">
      <w:pPr>
        <w:pStyle w:val="12"/>
        <w:rPr>
          <w:lang w:val="ru-RU" w:eastAsia="ru-RU"/>
        </w:rPr>
      </w:pPr>
    </w:p>
    <w:p w14:paraId="10ABC4FB" w14:textId="77777777" w:rsidR="002E4BD4" w:rsidRDefault="002E4BD4" w:rsidP="009E2A97">
      <w:pPr>
        <w:pStyle w:val="12"/>
        <w:rPr>
          <w:lang w:val="ru-RU" w:eastAsia="ru-RU"/>
        </w:rPr>
      </w:pPr>
    </w:p>
    <w:p w14:paraId="37950BA6" w14:textId="77777777" w:rsidR="009E2A97" w:rsidRPr="005B58A9" w:rsidRDefault="009E2A97" w:rsidP="009E2A97">
      <w:pPr>
        <w:pStyle w:val="12"/>
        <w:rPr>
          <w:lang w:eastAsia="ru-RU"/>
        </w:rPr>
      </w:pPr>
      <w:r>
        <w:rPr>
          <w:lang w:eastAsia="ru-RU"/>
        </w:rPr>
        <w:lastRenderedPageBreak/>
        <w:t>УДК 94 (100):341.362.1“1337/1360</w:t>
      </w:r>
      <w:r w:rsidRPr="005B58A9">
        <w:rPr>
          <w:lang w:eastAsia="ru-RU"/>
        </w:rPr>
        <w:t>”</w:t>
      </w:r>
    </w:p>
    <w:p w14:paraId="6BECAF40" w14:textId="77777777" w:rsidR="009E2A97" w:rsidRPr="0097408C" w:rsidRDefault="009E2A97" w:rsidP="009E2A97">
      <w:pPr>
        <w:pStyle w:val="14"/>
        <w:rPr>
          <w:lang w:val="ru-RU"/>
        </w:rPr>
      </w:pPr>
      <w:bookmarkStart w:id="98" w:name="_Toc181894113"/>
      <w:r w:rsidRPr="005B58A9">
        <w:t>Е.В. РОЗМЫСЛ</w:t>
      </w:r>
      <w:bookmarkEnd w:id="98"/>
      <w:r w:rsidRPr="005B58A9">
        <w:t xml:space="preserve"> </w:t>
      </w:r>
    </w:p>
    <w:p w14:paraId="720C232E" w14:textId="77777777" w:rsidR="009E2A97" w:rsidRPr="009E2A97" w:rsidRDefault="009E2A97" w:rsidP="009E2A97">
      <w:pPr>
        <w:pStyle w:val="3"/>
      </w:pPr>
      <w:r w:rsidRPr="009E2A97">
        <w:t>Гродно, ГрГУ им. Я. Купалы</w:t>
      </w:r>
    </w:p>
    <w:p w14:paraId="56AEA282" w14:textId="77777777" w:rsidR="009E2A97" w:rsidRPr="005B58A9" w:rsidRDefault="009E2A97" w:rsidP="009E2A97">
      <w:pPr>
        <w:pStyle w:val="4"/>
      </w:pPr>
      <w:r w:rsidRPr="005B58A9">
        <w:t xml:space="preserve">Научный руководитель: Г.В. Васюк, </w:t>
      </w:r>
      <w:r>
        <w:t>к.и.н.</w:t>
      </w:r>
      <w:r w:rsidRPr="005B58A9">
        <w:t>, доцент</w:t>
      </w:r>
    </w:p>
    <w:p w14:paraId="049D2661" w14:textId="77777777" w:rsidR="009E2A97" w:rsidRDefault="009E2A97" w:rsidP="009E2A97">
      <w:pPr>
        <w:pStyle w:val="7"/>
      </w:pPr>
    </w:p>
    <w:p w14:paraId="1BD5FFDA" w14:textId="77777777" w:rsidR="009E2A97" w:rsidRPr="005B58A9" w:rsidRDefault="009E2A97" w:rsidP="009E2A97">
      <w:pPr>
        <w:pStyle w:val="5"/>
      </w:pPr>
      <w:r w:rsidRPr="005B58A9">
        <w:t>КАПЕРСТВО И ЕГО ЗНАЧЕНИЕ НА ПЕРВОМ ЭТАПЕ СТОЛЕТНЕЙ ВОЙНЫ (1337–1360 ГГ.)</w:t>
      </w:r>
    </w:p>
    <w:p w14:paraId="7BC512E7" w14:textId="77777777" w:rsidR="009E2A97" w:rsidRDefault="009E2A97" w:rsidP="009E2A97">
      <w:pPr>
        <w:pStyle w:val="7"/>
      </w:pPr>
    </w:p>
    <w:p w14:paraId="52731769" w14:textId="77777777" w:rsidR="009E2A97" w:rsidRPr="00282E3E" w:rsidRDefault="009E2A97" w:rsidP="00927050">
      <w:pPr>
        <w:pStyle w:val="6"/>
      </w:pPr>
      <w:r w:rsidRPr="00282E3E">
        <w:t xml:space="preserve">Опираясь на достижения медиевистов и источниковую базу, автор рассматривает одну из малоизученных страниц Столетней войны </w:t>
      </w:r>
      <w:r>
        <w:t xml:space="preserve">(1337–1453 гг.) </w:t>
      </w:r>
      <w:r w:rsidRPr="00282E3E">
        <w:t xml:space="preserve">– каперство и его роль в конфликте между Англией и Францией. Дается аргументация значения «каперства», авторская периодизация данного явления в период противостояния ведущих держав Западной Европы. На примере первого этапа Столетней войны (1337–1360 гг.) раскрывается влияние и значение военно-морских операций </w:t>
      </w:r>
      <w:r>
        <w:t xml:space="preserve">с участием пиратства </w:t>
      </w:r>
      <w:r w:rsidRPr="00282E3E">
        <w:t>на ведение боевых действий между странами.</w:t>
      </w:r>
    </w:p>
    <w:p w14:paraId="2455FBC6" w14:textId="77777777" w:rsidR="009E2A97" w:rsidRDefault="009E2A97" w:rsidP="009E2A97">
      <w:pPr>
        <w:pStyle w:val="7"/>
      </w:pPr>
    </w:p>
    <w:p w14:paraId="11A8B299" w14:textId="77777777" w:rsidR="009E2A97" w:rsidRPr="00E0254A" w:rsidRDefault="009E2A97" w:rsidP="009E2A97">
      <w:pPr>
        <w:pStyle w:val="7"/>
      </w:pPr>
      <w:r w:rsidRPr="00E0254A">
        <w:t>Каперство, или пиратство, всегда было и остается легким, но в тоже время опасным способом обогащения. Вооруженные до зубов головорезы, ищущие приключений и богатой добычи, всегда становились отличными бойцами на флотах противоборствующих сторон. Их деятельность происходила на всем протяжении англо-французского противостояния вне зависимости от активности боевых действий.</w:t>
      </w:r>
    </w:p>
    <w:p w14:paraId="0FD85EFE" w14:textId="77777777" w:rsidR="009E2A97" w:rsidRPr="00E0254A" w:rsidRDefault="009E2A97" w:rsidP="009E2A97">
      <w:pPr>
        <w:pStyle w:val="7"/>
      </w:pPr>
      <w:r w:rsidRPr="00E0254A">
        <w:t>Необходимо отличать каперство о</w:t>
      </w:r>
      <w:r>
        <w:t>т</w:t>
      </w:r>
      <w:r w:rsidRPr="00E0254A">
        <w:t xml:space="preserve"> простого грабежа. Если первое пользуется покровительством короны и нередко находится под её защитой, то второе действует независимо и </w:t>
      </w:r>
      <w:r w:rsidRPr="00E86235">
        <w:t>хаотически.</w:t>
      </w:r>
      <w:r w:rsidRPr="00E0254A">
        <w:t xml:space="preserve"> В тоже время очень трудно отделить одно от другого, ввиду одинаковой и постоянной практики.</w:t>
      </w:r>
    </w:p>
    <w:p w14:paraId="7AC0EDB8" w14:textId="77777777" w:rsidR="009E2A97" w:rsidRPr="00E0254A" w:rsidRDefault="009E2A97" w:rsidP="009E2A97">
      <w:pPr>
        <w:pStyle w:val="7"/>
      </w:pPr>
      <w:r w:rsidRPr="00E0254A">
        <w:t>Установить периодизацию морских рейдов и грабежей весьма сложно, учитывая их упоминание в хрониках и малую изученность. Можно условно выделить 3 этапа:</w:t>
      </w:r>
    </w:p>
    <w:p w14:paraId="566C9591" w14:textId="77777777" w:rsidR="009E2A97" w:rsidRPr="00E0254A" w:rsidRDefault="009E2A97" w:rsidP="009E2A97">
      <w:pPr>
        <w:pStyle w:val="7"/>
      </w:pPr>
      <w:r w:rsidRPr="00E0254A">
        <w:t>1) 1337–1360 гг. – расцвет военно-морских операций в Ла-Манше и Бискайском заливе, совместные операции с сухопутными войсками, которые заканчиваются с заключением мира в Бретиньи</w:t>
      </w:r>
      <w:r w:rsidRPr="00B23292">
        <w:t xml:space="preserve"> 24 октября 1360 г.</w:t>
      </w:r>
    </w:p>
    <w:p w14:paraId="1EB2C0E8" w14:textId="77777777" w:rsidR="009E2A97" w:rsidRPr="00E0254A" w:rsidRDefault="009E2A97" w:rsidP="009E2A97">
      <w:pPr>
        <w:pStyle w:val="7"/>
      </w:pPr>
      <w:r w:rsidRPr="00E0254A">
        <w:t>2) 1369 – конец 1380-х гг. – успешные действия франко-кастильского флота</w:t>
      </w:r>
      <w:r>
        <w:t xml:space="preserve"> против Англии</w:t>
      </w:r>
      <w:r w:rsidRPr="00E0254A">
        <w:t>, попытки вторжения через Шотландию (1385 г.).</w:t>
      </w:r>
    </w:p>
    <w:p w14:paraId="4A9F46F8" w14:textId="77777777" w:rsidR="009E2A97" w:rsidRDefault="009E2A97" w:rsidP="009E2A97">
      <w:pPr>
        <w:pStyle w:val="7"/>
      </w:pPr>
      <w:r w:rsidRPr="00E0254A">
        <w:t xml:space="preserve">3) 1399 – 1410-е гг. – постоянные рейды английских и французских каперов вдоль береговых линий. Частная попытка вторжения французов </w:t>
      </w:r>
      <w:r>
        <w:t>на</w:t>
      </w:r>
      <w:r w:rsidRPr="00E0254A">
        <w:t xml:space="preserve"> </w:t>
      </w:r>
      <w:r>
        <w:t>Альбион</w:t>
      </w:r>
      <w:r w:rsidRPr="00E0254A">
        <w:t xml:space="preserve"> через Уэльс на фоне восстания</w:t>
      </w:r>
      <w:r>
        <w:t xml:space="preserve"> Оувена Глиндура (1404–1405</w:t>
      </w:r>
      <w:r w:rsidRPr="00E0254A">
        <w:t xml:space="preserve"> гг.).</w:t>
      </w:r>
    </w:p>
    <w:p w14:paraId="5B7264E5" w14:textId="77777777" w:rsidR="009E2A97" w:rsidRPr="00E0254A" w:rsidRDefault="009E2A97" w:rsidP="009E2A97">
      <w:pPr>
        <w:pStyle w:val="7"/>
      </w:pPr>
      <w:r>
        <w:t>4) 1420-е – 1453 гг. – господство англичан: морские операции идут на спад, не играя существенной роли на конфликт – крайне малоизучен.</w:t>
      </w:r>
    </w:p>
    <w:p w14:paraId="4E958600" w14:textId="77777777" w:rsidR="009E2A97" w:rsidRDefault="009E2A97" w:rsidP="009E2A97">
      <w:pPr>
        <w:pStyle w:val="7"/>
      </w:pPr>
      <w:r w:rsidRPr="00E0254A">
        <w:t>На начально</w:t>
      </w:r>
      <w:r>
        <w:t>м</w:t>
      </w:r>
      <w:r w:rsidRPr="00E0254A">
        <w:t xml:space="preserve"> этапе </w:t>
      </w:r>
      <w:r>
        <w:t xml:space="preserve">войны </w:t>
      </w:r>
      <w:r w:rsidRPr="00E0254A">
        <w:t xml:space="preserve">инициатива была в руках Франции. Если англичане совершали рейды по земле, то французы предпочитали </w:t>
      </w:r>
      <w:r w:rsidRPr="00E0254A">
        <w:lastRenderedPageBreak/>
        <w:t>действовать на море с генуэзскими и кастильскими союзниками [</w:t>
      </w:r>
      <w:r>
        <w:t>2,</w:t>
      </w:r>
      <w:r w:rsidRPr="00E0254A">
        <w:t xml:space="preserve"> с. 15]. Причем первые стычки на море возникали </w:t>
      </w:r>
      <w:r>
        <w:t xml:space="preserve">ещё </w:t>
      </w:r>
      <w:r w:rsidRPr="00E0254A">
        <w:t>до начала войны.</w:t>
      </w:r>
    </w:p>
    <w:p w14:paraId="59427B8D" w14:textId="77777777" w:rsidR="009E2A97" w:rsidRPr="00E0254A" w:rsidRDefault="009E2A97" w:rsidP="009E2A97">
      <w:pPr>
        <w:pStyle w:val="7"/>
      </w:pPr>
      <w:r>
        <w:t xml:space="preserve">Обе державы не имели </w:t>
      </w:r>
      <w:r w:rsidRPr="00E86235">
        <w:t>постоянного военного</w:t>
      </w:r>
      <w:r>
        <w:t xml:space="preserve"> флота. </w:t>
      </w:r>
      <w:r w:rsidRPr="007D24C7">
        <w:t xml:space="preserve">Франция </w:t>
      </w:r>
      <w:r>
        <w:t>полагалась на</w:t>
      </w:r>
      <w:r w:rsidRPr="007D24C7">
        <w:t xml:space="preserve"> морских союзников в лице Гену</w:t>
      </w:r>
      <w:r>
        <w:t>и</w:t>
      </w:r>
      <w:r w:rsidRPr="007D24C7">
        <w:t xml:space="preserve"> и Кастилии, </w:t>
      </w:r>
      <w:r>
        <w:t xml:space="preserve">а вот </w:t>
      </w:r>
      <w:r w:rsidRPr="007D24C7">
        <w:t xml:space="preserve">Англия </w:t>
      </w:r>
      <w:r>
        <w:t xml:space="preserve">рассчитывала только </w:t>
      </w:r>
      <w:r w:rsidRPr="007D24C7">
        <w:t>на свои силы [</w:t>
      </w:r>
      <w:r>
        <w:t>3</w:t>
      </w:r>
      <w:r w:rsidRPr="007D24C7">
        <w:t xml:space="preserve">, с. 262]: </w:t>
      </w:r>
      <w:r>
        <w:t xml:space="preserve">с 1050-х гг. существовал </w:t>
      </w:r>
      <w:r w:rsidRPr="007D24C7">
        <w:t xml:space="preserve">союз «Пяти портов»: Дувр, Гастингс, Ромни, Хит и Сэндвич. Они </w:t>
      </w:r>
      <w:r>
        <w:t>занимались</w:t>
      </w:r>
      <w:r w:rsidRPr="007D24C7">
        <w:t xml:space="preserve"> мобилизацией торговых судов для борьбы с </w:t>
      </w:r>
      <w:r>
        <w:t>пиратством и отражения агрессии</w:t>
      </w:r>
      <w:r w:rsidRPr="007D24C7">
        <w:t>. В 1337–1360</w:t>
      </w:r>
      <w:r>
        <w:t xml:space="preserve"> </w:t>
      </w:r>
      <w:r w:rsidRPr="007D24C7">
        <w:t>гг. 98% кораблей английского флота находились в частном владении. Контроль над береговой линией осуществлялся за счет различных альянсов и соглашений: флот собира</w:t>
      </w:r>
      <w:r>
        <w:t xml:space="preserve">лся в случае угрозы вторжения, после </w:t>
      </w:r>
      <w:r w:rsidRPr="007D24C7">
        <w:t>быстро расформировывался [</w:t>
      </w:r>
      <w:r>
        <w:t>5</w:t>
      </w:r>
      <w:r w:rsidRPr="007D24C7">
        <w:t xml:space="preserve">, с. </w:t>
      </w:r>
      <w:r>
        <w:t xml:space="preserve">8, </w:t>
      </w:r>
      <w:r w:rsidRPr="007D24C7">
        <w:t>11].</w:t>
      </w:r>
    </w:p>
    <w:p w14:paraId="668AA9FC" w14:textId="77777777" w:rsidR="009E2A97" w:rsidRPr="00E0254A" w:rsidRDefault="009E2A97" w:rsidP="009E2A97">
      <w:pPr>
        <w:pStyle w:val="7"/>
      </w:pPr>
      <w:r w:rsidRPr="00E0254A">
        <w:t>22 августа 1336 г.</w:t>
      </w:r>
      <w:r>
        <w:t xml:space="preserve"> </w:t>
      </w:r>
      <w:r w:rsidRPr="00E0254A">
        <w:t>4 французских военных корабля обрушились на город Орфорд. На следующий день они совершили налет на Уолтон-роудс</w:t>
      </w:r>
      <w:r>
        <w:t>,</w:t>
      </w:r>
      <w:r w:rsidRPr="00E0254A">
        <w:t xml:space="preserve"> </w:t>
      </w:r>
      <w:r>
        <w:t>в</w:t>
      </w:r>
      <w:r w:rsidRPr="00E0254A">
        <w:t xml:space="preserve">зяли Патерностер с ценным грузом ткани, красителей и </w:t>
      </w:r>
      <w:r w:rsidRPr="00E86235">
        <w:t>воска. Это</w:t>
      </w:r>
      <w:r w:rsidRPr="00E0254A">
        <w:t xml:space="preserve"> не случайны</w:t>
      </w:r>
      <w:r>
        <w:t>й набег,</w:t>
      </w:r>
      <w:r w:rsidRPr="00E0254A">
        <w:t xml:space="preserve"> на что указывает наличие у </w:t>
      </w:r>
      <w:r>
        <w:t>корсаров</w:t>
      </w:r>
      <w:r w:rsidRPr="00E0254A">
        <w:t xml:space="preserve"> грамот Филиппа VI. </w:t>
      </w:r>
      <w:r>
        <w:t>Данный рейд</w:t>
      </w:r>
      <w:r w:rsidRPr="00E0254A">
        <w:t xml:space="preserve"> побудил англичан собирать армию под страхом возможного вторжения, из-за чего казна Англии оскудела [1</w:t>
      </w:r>
      <w:r>
        <w:t>7</w:t>
      </w:r>
      <w:r w:rsidRPr="00E0254A">
        <w:t>, p. 164].</w:t>
      </w:r>
    </w:p>
    <w:p w14:paraId="70A8199C" w14:textId="77777777" w:rsidR="009E2A97" w:rsidRPr="00E0254A" w:rsidRDefault="009E2A97" w:rsidP="009E2A97">
      <w:pPr>
        <w:pStyle w:val="7"/>
      </w:pPr>
      <w:r>
        <w:t>В условиях войны Шотландии за свою независимость (1332–1357 гг.) против Англии, ф</w:t>
      </w:r>
      <w:r w:rsidRPr="00E0254A">
        <w:t xml:space="preserve">ранцузы оказывали поддержку </w:t>
      </w:r>
      <w:r>
        <w:t>скоттским</w:t>
      </w:r>
      <w:r w:rsidRPr="00E0254A">
        <w:t xml:space="preserve"> пиратам, укрывая их в своих портах. Многие корабли имели даже смешанные франко-шотландские команды, которые действовали на английских коммуникациях </w:t>
      </w:r>
      <w:r>
        <w:t>в</w:t>
      </w:r>
      <w:r w:rsidRPr="00E0254A">
        <w:t xml:space="preserve"> Северном море, </w:t>
      </w:r>
      <w:r w:rsidRPr="00E86235">
        <w:t>и у западного</w:t>
      </w:r>
      <w:r w:rsidRPr="00E0254A">
        <w:t xml:space="preserve"> побережья [</w:t>
      </w:r>
      <w:r>
        <w:t>2,</w:t>
      </w:r>
      <w:r w:rsidRPr="00E0254A">
        <w:t xml:space="preserve"> с. 15].</w:t>
      </w:r>
    </w:p>
    <w:p w14:paraId="7BEB798B" w14:textId="77777777" w:rsidR="009E2A97" w:rsidRPr="00E0254A" w:rsidRDefault="009E2A97" w:rsidP="009E2A97">
      <w:pPr>
        <w:pStyle w:val="7"/>
      </w:pPr>
      <w:r w:rsidRPr="00E0254A">
        <w:t>С началом войны обе стороны испытывали свои берега на прочность. Первым театром стали берега Гаскони. В августе 1337 г. у Ла-Рошели небольшая французская эскадрилья была разгромлена людьми из Байонны. В ответ французы в течение года совершал круиз близ устья Жиронды, а 2</w:t>
      </w:r>
      <w:r>
        <w:t>-</w:t>
      </w:r>
      <w:r w:rsidRPr="00E0254A">
        <w:t>3 августа 1338 г. самый большой конвой с продовольствием, когда-либо отправленный в герцогство, был атакован 18 галерами у Тальмона при входе в Жиронду. Д</w:t>
      </w:r>
      <w:r>
        <w:t>ва судна были захвачены, а груз</w:t>
      </w:r>
      <w:r w:rsidRPr="00E0254A">
        <w:t xml:space="preserve"> потерян [</w:t>
      </w:r>
      <w:r>
        <w:t>17,</w:t>
      </w:r>
      <w:r w:rsidRPr="00E0254A">
        <w:t xml:space="preserve"> p. 233].</w:t>
      </w:r>
    </w:p>
    <w:p w14:paraId="13A2BDB7" w14:textId="77777777" w:rsidR="009E2A97" w:rsidRPr="00E0254A" w:rsidRDefault="009E2A97" w:rsidP="009E2A97">
      <w:pPr>
        <w:pStyle w:val="7"/>
      </w:pPr>
      <w:r w:rsidRPr="00E0254A">
        <w:t>В том же 1338 г. с весны Англия становится главным объектом набегов: «На Великий Пост, в канун Благовещения, Николя Бегюше сжег в Англии город под названием Портсмут и много других» [</w:t>
      </w:r>
      <w:r>
        <w:t>11,</w:t>
      </w:r>
      <w:r w:rsidRPr="00E0254A">
        <w:t xml:space="preserve"> с. 222]. 24 марта 1338 г. последовало нападение на Джерси. Французы взяли под свой контроль Гернси 8 сентября 1338 г. и удерживал его в течение нескольких лет. Хотя англичане пытались собрать флот для защиты от подобных вторжений, французы смогли начать серьезную атаку на Саутгемптон в воскресенье 5 октября 1338 г. [</w:t>
      </w:r>
      <w:r>
        <w:t>15,</w:t>
      </w:r>
      <w:r w:rsidRPr="00E0254A">
        <w:t xml:space="preserve"> p. 31]. В </w:t>
      </w:r>
      <w:r>
        <w:t xml:space="preserve">результате французам удалось захватить два </w:t>
      </w:r>
      <w:r w:rsidRPr="00E0254A">
        <w:t xml:space="preserve">крупных вооруженных купеческих корабля «Кристофер» и «Эдуард», вместе с тремя меньшими кораблями и богатым грузом, хотя для этого </w:t>
      </w:r>
      <w:r w:rsidRPr="00E86235">
        <w:t>им п</w:t>
      </w:r>
      <w:r w:rsidRPr="00E0254A">
        <w:t xml:space="preserve">ришлось выдержать жестокий </w:t>
      </w:r>
      <w:r>
        <w:t>9-</w:t>
      </w:r>
      <w:r w:rsidRPr="00E0254A">
        <w:t>часовой бой [</w:t>
      </w:r>
      <w:r>
        <w:t>12,</w:t>
      </w:r>
      <w:r w:rsidRPr="00E0254A">
        <w:t xml:space="preserve"> с. 206].</w:t>
      </w:r>
    </w:p>
    <w:p w14:paraId="6554BE77" w14:textId="77777777" w:rsidR="009E2A97" w:rsidRPr="00E0254A" w:rsidRDefault="009E2A97" w:rsidP="009E2A97">
      <w:pPr>
        <w:pStyle w:val="7"/>
      </w:pPr>
      <w:r w:rsidRPr="00E0254A">
        <w:lastRenderedPageBreak/>
        <w:t>Некоторые французские набеги приобретали откровенно грабительский характер. Джеффери Ле Бейкер отмечает, что «норманнские пираты сожгли одну рыбацкую хижину. В Девоне они совершили много зла против рыбаков и сожгли лодки, которые нашли в лачугах» [</w:t>
      </w:r>
      <w:r>
        <w:t>13,</w:t>
      </w:r>
      <w:r w:rsidRPr="00E0254A">
        <w:t xml:space="preserve"> p. 63–64]. Это подтверждает Фруассар, говоря как французы «прибыли под Хантон в воскресный день, в час мессы, когда все горожане были в церкви и разграбили его, убив всех. Кроме того, они послали часть людей жечь некоторые окрестные деревушки» [</w:t>
      </w:r>
      <w:r>
        <w:t>8,</w:t>
      </w:r>
      <w:r w:rsidRPr="00E0254A">
        <w:t xml:space="preserve"> с. 143].</w:t>
      </w:r>
    </w:p>
    <w:p w14:paraId="7F1BC2C7" w14:textId="77777777" w:rsidR="009E2A97" w:rsidRPr="00E0254A" w:rsidRDefault="009E2A97" w:rsidP="009E2A97">
      <w:pPr>
        <w:pStyle w:val="7"/>
      </w:pPr>
      <w:r>
        <w:t>Вместе с усиливающимися набегами</w:t>
      </w:r>
      <w:r w:rsidRPr="00E0254A">
        <w:t xml:space="preserve"> в 1338–1339 гг. вынашиваются планы вторжения в Англию: «В середине августа (1338), на помощь королю Франции прибыло 40 генуэзских галер. Их нанимал нормандский адмирал мессир Юг Киере. Вместе адмиралом и Бегюше эти генуэзцы захватили той весной много кораблей короля Эдуарда, как в море, так и в гаванях» [</w:t>
      </w:r>
      <w:r>
        <w:t>11,</w:t>
      </w:r>
      <w:r w:rsidRPr="00E0254A">
        <w:t xml:space="preserve"> с. 223]. Это подтверждает и договор Филиппа VI </w:t>
      </w:r>
      <w:r>
        <w:t xml:space="preserve">(1328–1350 гг.) </w:t>
      </w:r>
      <w:r w:rsidRPr="00E0254A">
        <w:t>с нормандцами о завоевании Англии от 23 марта 1339 г.</w:t>
      </w:r>
      <w:r>
        <w:t xml:space="preserve">, де король обещает распределить между ними захваченные земл </w:t>
      </w:r>
      <w:r w:rsidRPr="00E0254A">
        <w:t>[</w:t>
      </w:r>
      <w:r>
        <w:t>11,</w:t>
      </w:r>
      <w:r w:rsidRPr="00E0254A">
        <w:t xml:space="preserve"> с. 280–281].</w:t>
      </w:r>
    </w:p>
    <w:p w14:paraId="670C4D8B" w14:textId="77777777" w:rsidR="009E2A97" w:rsidRPr="00E0254A" w:rsidRDefault="009E2A97" w:rsidP="009E2A97">
      <w:pPr>
        <w:pStyle w:val="7"/>
      </w:pPr>
      <w:r w:rsidRPr="00E0254A">
        <w:t xml:space="preserve">Одной из успешных операций стал рейд «Пяти портов» в Булони в январе 1340 г., которые преследовали одну из разбойничьих шаек; </w:t>
      </w:r>
      <w:r w:rsidRPr="00C76BE3">
        <w:t>англичане ворвались в гавань, уничтожили стоявшие в ней корабли,</w:t>
      </w:r>
      <w:r w:rsidRPr="00E0254A">
        <w:t xml:space="preserve"> повесили 12 капитанов и сожгли часть города [</w:t>
      </w:r>
      <w:r>
        <w:t>12,</w:t>
      </w:r>
      <w:r w:rsidRPr="00E0254A">
        <w:t xml:space="preserve"> с. 206]. После ожесточенных боев </w:t>
      </w:r>
      <w:r>
        <w:t>они</w:t>
      </w:r>
      <w:r w:rsidRPr="00E0254A">
        <w:t xml:space="preserve"> были изгнаны с большими потерями. Но к этому времени они сожгли все 18 галер вместе со всем их снаряжением. 24 торговых судна также были уничтожены [</w:t>
      </w:r>
      <w:r>
        <w:t>17,</w:t>
      </w:r>
      <w:r w:rsidRPr="00E0254A">
        <w:t xml:space="preserve"> p. 321–322]. Успех стал прологом разгрома французов у Слёйса в 1340 г., что позволило Англии установить контроль над Ла-Маншем.</w:t>
      </w:r>
    </w:p>
    <w:p w14:paraId="5E07B412" w14:textId="77777777" w:rsidR="009E2A97" w:rsidRPr="00E0254A" w:rsidRDefault="009E2A97" w:rsidP="009E2A97">
      <w:pPr>
        <w:pStyle w:val="7"/>
      </w:pPr>
      <w:r w:rsidRPr="00E0254A">
        <w:t xml:space="preserve">Набеги несколько оживились в 1341 г. в Бретани, когда Людовик Испанский напал на стоявшие в бухте английские корабли: «Они </w:t>
      </w:r>
      <w:r>
        <w:t xml:space="preserve">(англичане) </w:t>
      </w:r>
      <w:r w:rsidRPr="00E0254A">
        <w:t>не смогли помешать нанести очень большой ущерб их флотилии. Он пустил на дно четыре крупных корабля и погубил всех, кто там был, и увел с собой три нагруженные припасами баржи» [</w:t>
      </w:r>
      <w:r>
        <w:t>9,</w:t>
      </w:r>
      <w:r w:rsidRPr="00E0254A">
        <w:t xml:space="preserve"> с. 107]. Следующим столкновением стала попытка французов снять морскую блокаду с Кале в 1347 г. </w:t>
      </w:r>
      <w:r>
        <w:t>Г</w:t>
      </w:r>
      <w:r w:rsidRPr="00E0254A">
        <w:t>алеры перехватили первый конвой судов с продовольствием, пересекший Ла-Манш с начала осады, и напали на них, когда они приближались к Кале. Все 25 судов были уничтожены, а их экипажи убиты [</w:t>
      </w:r>
      <w:r>
        <w:t>17,</w:t>
      </w:r>
      <w:r w:rsidRPr="00E0254A">
        <w:t xml:space="preserve"> p. 539]. После чего англичане установили контроль над Па-де-Кале: «Французы подошли к бухте, но в нее не вошли, оставаясь на глубокой воде, так как прилив сменялся отливом» [</w:t>
      </w:r>
      <w:r>
        <w:t>7</w:t>
      </w:r>
      <w:r w:rsidRPr="00E0254A">
        <w:t>]. Из-за этого возникла необходимость обеспечить большое сопровождение конвоев и разместить на каждом корабле сильную охрану из лучников и латников [</w:t>
      </w:r>
      <w:r>
        <w:t>17,</w:t>
      </w:r>
      <w:r w:rsidRPr="00E0254A">
        <w:t xml:space="preserve"> p. 539], что сыграло свою роль во взятии Кале, когда 25 июня 1</w:t>
      </w:r>
      <w:r>
        <w:t xml:space="preserve">347 г. часть английского флота </w:t>
      </w:r>
      <w:r w:rsidRPr="00E0254A">
        <w:t>атаковала и рассеяла противника [</w:t>
      </w:r>
      <w:r>
        <w:t>1</w:t>
      </w:r>
      <w:r w:rsidRPr="00E0254A">
        <w:t>, с. 100].</w:t>
      </w:r>
    </w:p>
    <w:p w14:paraId="689409ED" w14:textId="77777777" w:rsidR="009E2A97" w:rsidRPr="00E0254A" w:rsidRDefault="009E2A97" w:rsidP="009E2A97">
      <w:pPr>
        <w:pStyle w:val="7"/>
      </w:pPr>
      <w:r w:rsidRPr="00E0254A">
        <w:lastRenderedPageBreak/>
        <w:t xml:space="preserve">Не </w:t>
      </w:r>
      <w:r>
        <w:t>исключались</w:t>
      </w:r>
      <w:r w:rsidRPr="00E0254A">
        <w:t xml:space="preserve"> бои один на один. В конце лета 1348 г. английский корабль, перевозивший нового констебля из Бордо и провизию для гарнизонов Гаскони, был атакован кораблем «Санта-Мария». Два корабля вели бой в течение нескольких часов, прежде чем «Санта-Мария» была взята на абордаж и доставлена в Байонну [</w:t>
      </w:r>
      <w:r>
        <w:t>18,</w:t>
      </w:r>
      <w:r w:rsidRPr="00E0254A">
        <w:t xml:space="preserve"> p. 52].</w:t>
      </w:r>
    </w:p>
    <w:p w14:paraId="124DBED0" w14:textId="77777777" w:rsidR="009E2A97" w:rsidRPr="00E0254A" w:rsidRDefault="009E2A97" w:rsidP="009E2A97">
      <w:pPr>
        <w:pStyle w:val="7"/>
      </w:pPr>
      <w:r w:rsidRPr="00E86235">
        <w:t>Уже тогда имелись случаи взаимодействия флота с армией не только</w:t>
      </w:r>
      <w:r w:rsidRPr="00E0254A">
        <w:t xml:space="preserve"> у моря, но и в глубине континента, что доказывает осада французами г. Эврё, захваченного наваррцами после пленения Иоанном II </w:t>
      </w:r>
      <w:r>
        <w:t xml:space="preserve">(1350–1364 гг.) </w:t>
      </w:r>
      <w:r w:rsidRPr="00E0254A">
        <w:t>Карла Злого в 1356 г.: «Король Франции приказал монсеньору ле-Бодрен-де-ла-Гёзу, адмиралу Франции, устроить осаду вокруг Эврё. Они захватили город, и был большой штурм и большая схватка между французами и наваррцами» [</w:t>
      </w:r>
      <w:r>
        <w:t>14</w:t>
      </w:r>
      <w:r w:rsidRPr="00E0254A">
        <w:t>, p. 37–38].</w:t>
      </w:r>
    </w:p>
    <w:p w14:paraId="4B9DF2C0" w14:textId="77777777" w:rsidR="009E2A97" w:rsidRPr="00E0254A" w:rsidRDefault="009E2A97" w:rsidP="009E2A97">
      <w:pPr>
        <w:pStyle w:val="7"/>
      </w:pPr>
      <w:r w:rsidRPr="00E0254A">
        <w:t>После баталии под Винчелси в 1350 г. активность боевых действий на море резко снизилась до середины 1350-х</w:t>
      </w:r>
      <w:r>
        <w:t xml:space="preserve"> гг.</w:t>
      </w:r>
      <w:r w:rsidRPr="00E0254A">
        <w:t xml:space="preserve"> Известны случаи столкновений в 1355, 1359 гг. [</w:t>
      </w:r>
      <w:r>
        <w:t>10</w:t>
      </w:r>
      <w:r w:rsidRPr="00E0254A">
        <w:t>, с. 125], но они не идут ни в какое сравнение с набегом 153 французских кораблей на Винчелси 5 марта 1360 г.</w:t>
      </w:r>
      <w:r w:rsidRPr="00521B11">
        <w:t xml:space="preserve"> </w:t>
      </w:r>
      <w:r w:rsidRPr="00E0254A">
        <w:t>[1, с. 160]</w:t>
      </w:r>
      <w:r>
        <w:t>.</w:t>
      </w:r>
    </w:p>
    <w:p w14:paraId="05768AA4" w14:textId="77777777" w:rsidR="009E2A97" w:rsidRPr="00E0254A" w:rsidRDefault="009E2A97" w:rsidP="009E2A97">
      <w:pPr>
        <w:pStyle w:val="7"/>
      </w:pPr>
      <w:r w:rsidRPr="00E0254A">
        <w:t>Этот глубоки</w:t>
      </w:r>
      <w:r>
        <w:t>й</w:t>
      </w:r>
      <w:r w:rsidRPr="00E0254A">
        <w:t xml:space="preserve"> рейд, когда англичане стояли у стен Парижа, описал Жан де Венет: «Они вышли в море, переправились в Англию и силой оружия захватили город Уинчелси. </w:t>
      </w:r>
      <w:r>
        <w:t>Р</w:t>
      </w:r>
      <w:r w:rsidRPr="00E0254A">
        <w:t>азграбили его и сожгли, перебили жителей и через два дня вернулись на свою землю» [</w:t>
      </w:r>
      <w:r>
        <w:t>19,</w:t>
      </w:r>
      <w:r w:rsidRPr="00E0254A">
        <w:t xml:space="preserve"> p. 97]. Их численност</w:t>
      </w:r>
      <w:r>
        <w:t>ь</w:t>
      </w:r>
      <w:r w:rsidRPr="00E0254A">
        <w:t xml:space="preserve"> варьировались от 1500 до 2000 человек [</w:t>
      </w:r>
      <w:r>
        <w:t>18,</w:t>
      </w:r>
      <w:r w:rsidRPr="00E0254A">
        <w:t xml:space="preserve"> p. 436]. Это вызвало у англичан панический страх перед высадкой французов, которую они с 1340 г. считали невозможной [</w:t>
      </w:r>
      <w:r>
        <w:t>4</w:t>
      </w:r>
      <w:r w:rsidRPr="00E0254A">
        <w:t xml:space="preserve">, с. 159], что привело к мобилизации </w:t>
      </w:r>
      <w:r>
        <w:t>по всей южной Англии, а плененного после Пуатье в 1356 г.</w:t>
      </w:r>
      <w:r w:rsidRPr="00E0254A">
        <w:t xml:space="preserve"> Иоанн</w:t>
      </w:r>
      <w:r>
        <w:t>а</w:t>
      </w:r>
      <w:r w:rsidRPr="00E0254A">
        <w:t xml:space="preserve"> </w:t>
      </w:r>
      <w:r>
        <w:rPr>
          <w:lang w:val="en-US"/>
        </w:rPr>
        <w:t>II</w:t>
      </w:r>
      <w:r w:rsidRPr="00E21E28">
        <w:t xml:space="preserve"> </w:t>
      </w:r>
      <w:r>
        <w:t xml:space="preserve">даже </w:t>
      </w:r>
      <w:r w:rsidRPr="00E0254A">
        <w:t>переве</w:t>
      </w:r>
      <w:r>
        <w:t>ли</w:t>
      </w:r>
      <w:r w:rsidRPr="00E0254A">
        <w:t xml:space="preserve"> в Уэльс [</w:t>
      </w:r>
      <w:r>
        <w:t>18,</w:t>
      </w:r>
      <w:r w:rsidRPr="00E0254A">
        <w:t xml:space="preserve"> p. 437].</w:t>
      </w:r>
    </w:p>
    <w:p w14:paraId="2FB175B8" w14:textId="77777777" w:rsidR="009E2A97" w:rsidRDefault="009E2A97" w:rsidP="009E2A97">
      <w:pPr>
        <w:pStyle w:val="7"/>
      </w:pPr>
      <w:r w:rsidRPr="00E0254A">
        <w:t xml:space="preserve">Важность этой экспедиции в том, что она стимулировала переговоры между Эдуардом III </w:t>
      </w:r>
      <w:r>
        <w:t xml:space="preserve">(1327–1377 гг.) </w:t>
      </w:r>
      <w:r w:rsidRPr="00E0254A">
        <w:t>и дофином Карлом</w:t>
      </w:r>
      <w:r>
        <w:t xml:space="preserve">, будущим Карлом </w:t>
      </w:r>
      <w:r>
        <w:rPr>
          <w:lang w:val="en-US"/>
        </w:rPr>
        <w:t>V</w:t>
      </w:r>
      <w:r w:rsidRPr="00E21E28">
        <w:t xml:space="preserve"> </w:t>
      </w:r>
      <w:r>
        <w:t xml:space="preserve">(1364–1380 гг.), исполнявшим с 1359 г. обязанности регента. Все завершилось </w:t>
      </w:r>
      <w:r w:rsidRPr="00E0254A">
        <w:t>миром в Бретиньи</w:t>
      </w:r>
      <w:r>
        <w:t xml:space="preserve"> 24 октября 1360 г. Следует отметить, что в этот момент</w:t>
      </w:r>
      <w:r w:rsidRPr="00E0254A">
        <w:t xml:space="preserve"> регент вел переговоры с шотландцами, а с их стороны Эдуард ничего хорошего ждать не мог [</w:t>
      </w:r>
      <w:r>
        <w:t>6</w:t>
      </w:r>
      <w:r w:rsidRPr="00E0254A">
        <w:t>, c. 266].</w:t>
      </w:r>
      <w:r>
        <w:t xml:space="preserve"> Поэтому один из элементов договора гласил, что «</w:t>
      </w:r>
      <w:r w:rsidRPr="00282E3E">
        <w:t>в настоящем и будущем не будут благоволить против короля Англии, ни против его правителей и преемников, ни против его подчиненных, ни против его королевства, никоим образом не будут заключать других союзов</w:t>
      </w:r>
      <w:r>
        <w:t xml:space="preserve">» </w:t>
      </w:r>
      <w:r w:rsidRPr="00282E3E">
        <w:t>[</w:t>
      </w:r>
      <w:r>
        <w:t>16</w:t>
      </w:r>
      <w:r w:rsidRPr="00282E3E">
        <w:t>, p. 286].</w:t>
      </w:r>
      <w:r>
        <w:t xml:space="preserve"> Приход к соглашению способствовал ликвидации активных морских операций между ключевыми участниками конфликта и их союзниками.</w:t>
      </w:r>
    </w:p>
    <w:p w14:paraId="45FDD9E7" w14:textId="77777777" w:rsidR="009E2A97" w:rsidRDefault="009E2A97" w:rsidP="009E2A97">
      <w:pPr>
        <w:pStyle w:val="7"/>
      </w:pPr>
      <w:r>
        <w:t>Подводя итог рассмотрению деятельности каперов на первом этапе Столетней войны</w:t>
      </w:r>
      <w:r w:rsidRPr="00E86235">
        <w:t>, то</w:t>
      </w:r>
      <w:r>
        <w:t xml:space="preserve"> необходимо подчеркнуть стратегическую значимость пиратства. Невзирая на крупные победы Англии на суше, так и на море, вся их деятельность физически и материально зависела от способности </w:t>
      </w:r>
      <w:r>
        <w:lastRenderedPageBreak/>
        <w:t>контролировать ситуацию на воде. Высокая интенсивность военно-морских операций: рейды на порты и укрепления противоборствующих сторон, грабеж, различные стычки, как в зоне пролива, так и в Бискайском заливе – все это влияло на способность английской монархии вести крупные сухопутные операции против Франции. Для последней же способность наносить ущерб своему сопернику как самостоятельно, так и с помощью союзников, являлось стратегией на истощение военного потенциала Англии и говорит о том, что Франция имела серьёзное влияние на море, даже после поражений при Слейсе и Винчелси, что подтверждают события 1359 г.</w:t>
      </w:r>
    </w:p>
    <w:p w14:paraId="463E9323" w14:textId="77777777" w:rsidR="009E2A97" w:rsidRDefault="009E2A97" w:rsidP="009E2A97">
      <w:pPr>
        <w:pStyle w:val="7"/>
      </w:pPr>
    </w:p>
    <w:p w14:paraId="699F92D8" w14:textId="77777777" w:rsidR="009E2A97" w:rsidRDefault="009E2A97" w:rsidP="00617D0B">
      <w:pPr>
        <w:pStyle w:val="7"/>
      </w:pPr>
    </w:p>
    <w:p w14:paraId="4AA22B24" w14:textId="3F370593" w:rsidR="009E2A97" w:rsidRPr="00282E3E" w:rsidRDefault="009E2A97" w:rsidP="00617D0B">
      <w:pPr>
        <w:pStyle w:val="8"/>
        <w:numPr>
          <w:ilvl w:val="0"/>
          <w:numId w:val="35"/>
        </w:numPr>
        <w:ind w:left="0" w:firstLine="709"/>
      </w:pPr>
      <w:r w:rsidRPr="00282E3E">
        <w:t>Берн, А. Битва при Креси. История Столетней войны с 1337 по 1360 год / А. Б</w:t>
      </w:r>
      <w:r>
        <w:t>е</w:t>
      </w:r>
      <w:r w:rsidRPr="00282E3E">
        <w:t>рн. – М. : Центрполиграф, 2004. – 167 с.</w:t>
      </w:r>
    </w:p>
    <w:p w14:paraId="4A5DE27D" w14:textId="7D54D5EA" w:rsidR="009E2A97" w:rsidRDefault="009E2A97" w:rsidP="00617D0B">
      <w:pPr>
        <w:pStyle w:val="8"/>
      </w:pPr>
      <w:r w:rsidRPr="00282E3E">
        <w:t>Битва при Креси 1346 г. / ред. В.И. Киселёв // Воен</w:t>
      </w:r>
      <w:r>
        <w:t>н</w:t>
      </w:r>
      <w:r w:rsidRPr="00282E3E">
        <w:t>о</w:t>
      </w:r>
      <w:r>
        <w:t>-</w:t>
      </w:r>
      <w:r w:rsidRPr="00282E3E">
        <w:t>исторический альманах «Новый солдат». – Артемовск</w:t>
      </w:r>
      <w:r>
        <w:t xml:space="preserve"> : «Книга», 2002. – № 37. – С</w:t>
      </w:r>
      <w:r w:rsidRPr="00282E3E">
        <w:t>.</w:t>
      </w:r>
      <w:r>
        <w:t xml:space="preserve"> 15.</w:t>
      </w:r>
    </w:p>
    <w:p w14:paraId="0EC6AA28" w14:textId="33662419" w:rsidR="009E2A97" w:rsidRPr="00282E3E" w:rsidRDefault="009E2A97" w:rsidP="00617D0B">
      <w:pPr>
        <w:pStyle w:val="8"/>
      </w:pPr>
      <w:r w:rsidRPr="007D24C7">
        <w:t xml:space="preserve">Брайант, А. Эпоха рыцарства в истории </w:t>
      </w:r>
      <w:r>
        <w:t>Англии / А. Брайант. – СПб. : Евразия</w:t>
      </w:r>
      <w:r w:rsidRPr="007D24C7">
        <w:t>, 2001. – 576 с.</w:t>
      </w:r>
    </w:p>
    <w:p w14:paraId="767A84B7" w14:textId="12007943" w:rsidR="009E2A97" w:rsidRDefault="009E2A97" w:rsidP="00617D0B">
      <w:pPr>
        <w:pStyle w:val="8"/>
      </w:pPr>
      <w:r w:rsidRPr="00282E3E">
        <w:t>Перруа, Э. Столетняя война. / Э. Перруа. – СПб . : Евразия, 2002. – 480 с.</w:t>
      </w:r>
    </w:p>
    <w:p w14:paraId="5542458F" w14:textId="27884A67" w:rsidR="009E2A97" w:rsidRDefault="009E2A97" w:rsidP="00617D0B">
      <w:pPr>
        <w:pStyle w:val="8"/>
      </w:pPr>
      <w:r w:rsidRPr="007D24C7">
        <w:t>Слейс – 1340 // 100 Битв, которые изменили мир. – М.</w:t>
      </w:r>
      <w:r>
        <w:t xml:space="preserve"> </w:t>
      </w:r>
      <w:r w:rsidRPr="007D24C7">
        <w:t>: ООО «Де Агостини».</w:t>
      </w:r>
      <w:r>
        <w:t xml:space="preserve"> </w:t>
      </w:r>
      <w:r w:rsidRPr="007D24C7">
        <w:t>– №</w:t>
      </w:r>
      <w:r>
        <w:t xml:space="preserve"> </w:t>
      </w:r>
      <w:r w:rsidRPr="007D24C7">
        <w:t xml:space="preserve">180. – 2014. – С. </w:t>
      </w:r>
      <w:r>
        <w:t>8–11</w:t>
      </w:r>
      <w:r w:rsidRPr="007D24C7">
        <w:t>.</w:t>
      </w:r>
    </w:p>
    <w:p w14:paraId="6A735A22" w14:textId="5AB9C4BF" w:rsidR="009E2A97" w:rsidRPr="00282E3E" w:rsidRDefault="009E2A97" w:rsidP="00617D0B">
      <w:pPr>
        <w:pStyle w:val="8"/>
      </w:pPr>
      <w:r w:rsidRPr="00282E3E">
        <w:t>Фавье, Ж. Столетняя война / Ж. Фавье. – СПб.</w:t>
      </w:r>
      <w:r>
        <w:t xml:space="preserve"> </w:t>
      </w:r>
      <w:r w:rsidRPr="00282E3E">
        <w:t>: Евразия, 2009. – 656 с.</w:t>
      </w:r>
    </w:p>
    <w:p w14:paraId="6655CCBA" w14:textId="440EA9CB" w:rsidR="009E2A97" w:rsidRPr="00282E3E" w:rsidRDefault="009E2A97" w:rsidP="00617D0B">
      <w:pPr>
        <w:pStyle w:val="8"/>
      </w:pPr>
      <w:r w:rsidRPr="00282E3E">
        <w:t xml:space="preserve">Фруассар, Ж. Хроники Англии, Франции, Испании и соседних стран от конца правления Эдуарда II до коронации Ричарда II / Ж. Фруассар // Библиотека Libma.ru. [Электронный ресурс]. – Режим доступа: </w:t>
      </w:r>
      <w:r w:rsidRPr="00617D0B">
        <w:t>http://www.libma.ru/istorija/hroniki/p1.php</w:t>
      </w:r>
      <w:r w:rsidRPr="00282E3E">
        <w:t>. – Дата доступа: 17.09.2022.</w:t>
      </w:r>
    </w:p>
    <w:p w14:paraId="049BD783" w14:textId="21E600B5" w:rsidR="009E2A97" w:rsidRPr="00282E3E" w:rsidRDefault="009E2A97" w:rsidP="00617D0B">
      <w:pPr>
        <w:pStyle w:val="8"/>
      </w:pPr>
      <w:r w:rsidRPr="00282E3E">
        <w:t>Фруассар, Ж. Хроники. 1340–1350 / Ж. Фруассар. – СПб. : Издательство РХГА; Ювента, 2012. – 856 с.</w:t>
      </w:r>
    </w:p>
    <w:p w14:paraId="69A76B31" w14:textId="02995363" w:rsidR="009E2A97" w:rsidRPr="00282E3E" w:rsidRDefault="009E2A97" w:rsidP="00617D0B">
      <w:pPr>
        <w:pStyle w:val="8"/>
      </w:pPr>
      <w:r w:rsidRPr="00282E3E">
        <w:t>Фруассар, Ж. Хроники. 1325–1340 / Ж. Фруассар. – СПб. : Изд-во С.-Петерб. Ун-та, 2009. – 655 с.</w:t>
      </w:r>
    </w:p>
    <w:p w14:paraId="56C83641" w14:textId="1DE47E41" w:rsidR="009E2A97" w:rsidRPr="00282E3E" w:rsidRDefault="009E2A97" w:rsidP="00617D0B">
      <w:pPr>
        <w:pStyle w:val="8"/>
      </w:pPr>
      <w:r w:rsidRPr="00282E3E">
        <w:t>Хачатурян, Н. А. Сословная монархия во Франции XIII–XV вв.</w:t>
      </w:r>
      <w:r>
        <w:t xml:space="preserve"> </w:t>
      </w:r>
      <w:r w:rsidRPr="00282E3E">
        <w:t>: Учеб. пособие для вузов / А. Н. Хачатурян. – М.</w:t>
      </w:r>
      <w:r>
        <w:t xml:space="preserve"> </w:t>
      </w:r>
      <w:r w:rsidRPr="00282E3E">
        <w:t>: Высш. шк., 1989. – 272 с.</w:t>
      </w:r>
    </w:p>
    <w:p w14:paraId="59D63454" w14:textId="5FC05819" w:rsidR="009E2A97" w:rsidRPr="00282E3E" w:rsidRDefault="009E2A97" w:rsidP="00617D0B">
      <w:pPr>
        <w:pStyle w:val="8"/>
      </w:pPr>
      <w:r w:rsidRPr="00282E3E">
        <w:t>Хроники и документы времен Столетней войны. – СПб. : Изд-во С.-Петерб. Ун-та, 2005. – 425 с.</w:t>
      </w:r>
    </w:p>
    <w:p w14:paraId="09A256C2" w14:textId="6A2EC5A0" w:rsidR="009E2A97" w:rsidRPr="00282E3E" w:rsidRDefault="009E2A97" w:rsidP="00617D0B">
      <w:pPr>
        <w:pStyle w:val="8"/>
      </w:pPr>
      <w:r w:rsidRPr="00282E3E">
        <w:t>Штенцель, А. История войн на море с древнейших времен до конца XIX века : в 2. т. / А. Штенцель. – М. : Изографус, Эксмо-Пресс, 2002. – Т. 1 – 670 с.</w:t>
      </w:r>
    </w:p>
    <w:p w14:paraId="33E6F498" w14:textId="681BD84B" w:rsidR="009E2A97" w:rsidRPr="00282E3E" w:rsidRDefault="009E2A97" w:rsidP="00617D0B">
      <w:pPr>
        <w:pStyle w:val="8"/>
        <w:rPr>
          <w:lang w:val="en-US"/>
        </w:rPr>
      </w:pPr>
      <w:r w:rsidRPr="00282E3E">
        <w:rPr>
          <w:lang w:val="en-US"/>
        </w:rPr>
        <w:t xml:space="preserve">Baker, le G. Chronicon / G. le Baker. – Michigan : Clarendon press, 1889. – 389 </w:t>
      </w:r>
      <w:r w:rsidRPr="00282E3E">
        <w:t>р</w:t>
      </w:r>
      <w:r w:rsidRPr="00282E3E">
        <w:rPr>
          <w:lang w:val="en-US"/>
        </w:rPr>
        <w:t>.</w:t>
      </w:r>
    </w:p>
    <w:p w14:paraId="3E4233D3" w14:textId="331409D6" w:rsidR="009E2A97" w:rsidRPr="00282E3E" w:rsidRDefault="009E2A97" w:rsidP="00617D0B">
      <w:pPr>
        <w:pStyle w:val="8"/>
        <w:rPr>
          <w:lang w:val="en-US"/>
        </w:rPr>
      </w:pPr>
      <w:r w:rsidRPr="00282E3E">
        <w:rPr>
          <w:lang w:val="en-US"/>
        </w:rPr>
        <w:t>Chronique des quatre premiers Valois (1327–1393). – Paris : V. J. Renouard, 1862. – 432 p.</w:t>
      </w:r>
    </w:p>
    <w:p w14:paraId="0CCAFFDF" w14:textId="4A692435" w:rsidR="009E2A97" w:rsidRPr="00282E3E" w:rsidRDefault="009E2A97" w:rsidP="00617D0B">
      <w:pPr>
        <w:pStyle w:val="8"/>
        <w:rPr>
          <w:lang w:val="en-US"/>
        </w:rPr>
      </w:pPr>
      <w:r>
        <w:rPr>
          <w:lang w:val="en-US"/>
        </w:rPr>
        <w:t>Curry, A. The Hundred Years</w:t>
      </w:r>
      <w:r w:rsidRPr="00282E3E">
        <w:rPr>
          <w:lang w:val="en-US"/>
        </w:rPr>
        <w:t xml:space="preserve"> War 1337–1453 / A. Curry. – Osprey : Publishing Limited, 2002. – 96 p.</w:t>
      </w:r>
    </w:p>
    <w:p w14:paraId="62C6B5CC" w14:textId="5FFE42EC" w:rsidR="009E2A97" w:rsidRPr="008A4004" w:rsidRDefault="009E2A97" w:rsidP="00617D0B">
      <w:pPr>
        <w:pStyle w:val="8"/>
        <w:rPr>
          <w:lang w:val="en-US"/>
        </w:rPr>
      </w:pPr>
      <w:r w:rsidRPr="00282E3E">
        <w:rPr>
          <w:lang w:val="en-US"/>
        </w:rPr>
        <w:t xml:space="preserve">Les grandes chroniques de France. Chronique des règnes de Jean II et de Charles V </w:t>
      </w:r>
      <w:r w:rsidRPr="00D45571">
        <w:rPr>
          <w:lang w:val="en-US"/>
        </w:rPr>
        <w:t xml:space="preserve">: </w:t>
      </w:r>
      <w:r w:rsidRPr="00282E3E">
        <w:rPr>
          <w:lang w:val="en-US"/>
        </w:rPr>
        <w:t>in Vol</w:t>
      </w:r>
      <w:r w:rsidRPr="00D45571">
        <w:rPr>
          <w:lang w:val="en-US"/>
        </w:rPr>
        <w:t>.</w:t>
      </w:r>
      <w:r w:rsidRPr="00282E3E">
        <w:rPr>
          <w:lang w:val="en-US"/>
        </w:rPr>
        <w:t xml:space="preserve"> IV. – Paris : Renouard, 1910. </w:t>
      </w:r>
      <w:r w:rsidRPr="008A4004">
        <w:rPr>
          <w:lang w:val="en-US"/>
        </w:rPr>
        <w:t>Vol. I. – 364 p.</w:t>
      </w:r>
    </w:p>
    <w:p w14:paraId="7C393E41" w14:textId="791CA7E0" w:rsidR="009E2A97" w:rsidRPr="00282E3E" w:rsidRDefault="009E2A97" w:rsidP="00617D0B">
      <w:pPr>
        <w:pStyle w:val="8"/>
        <w:rPr>
          <w:lang w:val="en-US"/>
        </w:rPr>
      </w:pPr>
      <w:r w:rsidRPr="00282E3E">
        <w:rPr>
          <w:lang w:val="en-US"/>
        </w:rPr>
        <w:t xml:space="preserve">Sumption, J. The Hundred years war </w:t>
      </w:r>
      <w:r w:rsidRPr="00D45571">
        <w:rPr>
          <w:lang w:val="en-US"/>
        </w:rPr>
        <w:t xml:space="preserve">: </w:t>
      </w:r>
      <w:r w:rsidRPr="00282E3E">
        <w:rPr>
          <w:lang w:val="en-US"/>
        </w:rPr>
        <w:t>in V Vol. / J. Sumption. – London–Boston : British Library, 1990. – Vol. I. Trial by Battle. – 660 p.</w:t>
      </w:r>
    </w:p>
    <w:p w14:paraId="3B163A13" w14:textId="36185D68" w:rsidR="009E2A97" w:rsidRPr="00282E3E" w:rsidRDefault="009E2A97" w:rsidP="00617D0B">
      <w:pPr>
        <w:pStyle w:val="8"/>
        <w:rPr>
          <w:lang w:val="en-US"/>
        </w:rPr>
      </w:pPr>
      <w:r w:rsidRPr="00282E3E">
        <w:rPr>
          <w:lang w:val="en-US"/>
        </w:rPr>
        <w:lastRenderedPageBreak/>
        <w:t xml:space="preserve">Sumption, J. The Hundred years war in V Vol. / J. Sumption. – London : British Library, 1999. – Vol. II. Trial by Fire. – </w:t>
      </w:r>
      <w:r>
        <w:rPr>
          <w:lang w:val="en-US"/>
        </w:rPr>
        <w:t>5</w:t>
      </w:r>
      <w:r w:rsidRPr="00282E3E">
        <w:rPr>
          <w:lang w:val="en-US"/>
        </w:rPr>
        <w:t>2</w:t>
      </w:r>
      <w:r w:rsidRPr="008C4639">
        <w:rPr>
          <w:lang w:val="en-US"/>
        </w:rPr>
        <w:t>0</w:t>
      </w:r>
      <w:r w:rsidRPr="00282E3E">
        <w:rPr>
          <w:lang w:val="en-US"/>
        </w:rPr>
        <w:t xml:space="preserve"> p.</w:t>
      </w:r>
    </w:p>
    <w:p w14:paraId="5EBECB7C" w14:textId="25038764" w:rsidR="009E2A97" w:rsidRDefault="009E2A97" w:rsidP="00617D0B">
      <w:pPr>
        <w:pStyle w:val="8"/>
        <w:rPr>
          <w:lang w:val="en-US"/>
        </w:rPr>
      </w:pPr>
      <w:r w:rsidRPr="00282E3E">
        <w:rPr>
          <w:lang w:val="en-US"/>
        </w:rPr>
        <w:t>Venette</w:t>
      </w:r>
      <w:r w:rsidRPr="008C4639">
        <w:rPr>
          <w:lang w:val="en-US"/>
        </w:rPr>
        <w:t>,</w:t>
      </w:r>
      <w:r w:rsidRPr="00282E3E">
        <w:rPr>
          <w:lang w:val="en-US"/>
        </w:rPr>
        <w:t xml:space="preserve"> de J. Chronicle / J. de Venette. – New-York : Columbia U</w:t>
      </w:r>
      <w:r>
        <w:rPr>
          <w:lang w:val="en-US"/>
        </w:rPr>
        <w:t>niversity Press, 1953. – 354 p.</w:t>
      </w:r>
    </w:p>
    <w:p w14:paraId="28B088C8" w14:textId="77777777" w:rsidR="002E4BD4" w:rsidRPr="00C76BE3" w:rsidRDefault="002E4BD4" w:rsidP="002E4BD4">
      <w:pPr>
        <w:pStyle w:val="8"/>
        <w:numPr>
          <w:ilvl w:val="0"/>
          <w:numId w:val="0"/>
        </w:numPr>
        <w:ind w:left="709"/>
        <w:rPr>
          <w:lang w:val="en-US"/>
        </w:rPr>
      </w:pPr>
    </w:p>
    <w:p w14:paraId="58AB9816" w14:textId="77777777" w:rsidR="00617D0B" w:rsidRPr="00EF68E3" w:rsidRDefault="000C69B3" w:rsidP="00617D0B">
      <w:pPr>
        <w:pStyle w:val="Standard"/>
        <w:jc w:val="center"/>
        <w:rPr>
          <w:rFonts w:ascii="Times New Roman" w:hAnsi="Times New Roman" w:cs="Times New Roman"/>
          <w:i/>
          <w:sz w:val="28"/>
          <w:szCs w:val="28"/>
          <w:lang w:val="be-BY"/>
        </w:rPr>
      </w:pPr>
      <w:hyperlink w:anchor="_СОДЕРЖАНИЕ" w:history="1">
        <w:r w:rsidR="00617D0B" w:rsidRPr="00EF68E3">
          <w:rPr>
            <w:rStyle w:val="a9"/>
            <w:rFonts w:ascii="Times New Roman" w:hAnsi="Times New Roman" w:cs="Times New Roman"/>
            <w:i/>
            <w:color w:val="auto"/>
            <w:sz w:val="28"/>
            <w:szCs w:val="28"/>
            <w:u w:val="none"/>
            <w:lang w:val="be-BY"/>
          </w:rPr>
          <w:t>К содержанию</w:t>
        </w:r>
      </w:hyperlink>
    </w:p>
    <w:p w14:paraId="177C31F5" w14:textId="77777777" w:rsidR="002E4BD4" w:rsidRDefault="002E4BD4" w:rsidP="002A6368">
      <w:pPr>
        <w:pStyle w:val="12"/>
      </w:pPr>
    </w:p>
    <w:p w14:paraId="12953A8E" w14:textId="77777777" w:rsidR="002E4BD4" w:rsidRDefault="002E4BD4" w:rsidP="002A6368">
      <w:pPr>
        <w:pStyle w:val="12"/>
      </w:pPr>
    </w:p>
    <w:p w14:paraId="01F4160F" w14:textId="77777777" w:rsidR="002E4BD4" w:rsidRDefault="002E4BD4" w:rsidP="002A6368">
      <w:pPr>
        <w:pStyle w:val="12"/>
      </w:pPr>
    </w:p>
    <w:p w14:paraId="780BCB85" w14:textId="77777777" w:rsidR="002A6368" w:rsidRDefault="002A6368" w:rsidP="002A6368">
      <w:pPr>
        <w:pStyle w:val="12"/>
      </w:pPr>
      <w:r>
        <w:t>УДК 397</w:t>
      </w:r>
    </w:p>
    <w:p w14:paraId="4E9428DC" w14:textId="77777777" w:rsidR="002A6368" w:rsidRDefault="002A6368" w:rsidP="002A6368">
      <w:pPr>
        <w:pStyle w:val="14"/>
      </w:pPr>
      <w:bookmarkStart w:id="99" w:name="_Toc181894114"/>
      <w:r>
        <w:t>М.С. Антонович</w:t>
      </w:r>
      <w:bookmarkEnd w:id="99"/>
      <w:r>
        <w:t xml:space="preserve"> </w:t>
      </w:r>
    </w:p>
    <w:p w14:paraId="778B9889" w14:textId="01E339C1" w:rsidR="002A6368" w:rsidRDefault="002A6368" w:rsidP="002A6368">
      <w:pPr>
        <w:pStyle w:val="3"/>
        <w:rPr>
          <w:szCs w:val="28"/>
        </w:rPr>
      </w:pPr>
      <w:r>
        <w:t>Брест, БрГУ имени А. С. Пушкина</w:t>
      </w:r>
    </w:p>
    <w:p w14:paraId="4167BD46" w14:textId="7AB74665" w:rsidR="002A6368" w:rsidRPr="002A6368" w:rsidRDefault="002A6368" w:rsidP="002A6368">
      <w:pPr>
        <w:pStyle w:val="4"/>
        <w:rPr>
          <w:lang w:val="ru-RU"/>
        </w:rPr>
      </w:pPr>
      <w:r>
        <w:t xml:space="preserve">Научный руководитель: А. Ю. Бодак, </w:t>
      </w:r>
      <w:r>
        <w:rPr>
          <w:lang w:val="ru-RU"/>
        </w:rPr>
        <w:t>к.и.н.</w:t>
      </w:r>
      <w:r>
        <w:t>, доцент</w:t>
      </w:r>
    </w:p>
    <w:p w14:paraId="43D509DC" w14:textId="77777777" w:rsidR="002A6368" w:rsidRDefault="002A6368" w:rsidP="002A6368">
      <w:pPr>
        <w:pStyle w:val="7"/>
      </w:pPr>
    </w:p>
    <w:p w14:paraId="5EE8182F" w14:textId="77777777" w:rsidR="002A6368" w:rsidRDefault="002A6368" w:rsidP="002A6368">
      <w:pPr>
        <w:pStyle w:val="5"/>
      </w:pPr>
      <w:r>
        <w:t>ОПИСАНИЯ БЫТА, ТРАДИЦИЙ И НРАВОВ ДРЕВНЕЙ РУСИ И ЛИТВЫ В СРЕДНЕВЕКОВЫХ АРАБСКИХ ИСТОЧНИКАХ</w:t>
      </w:r>
    </w:p>
    <w:p w14:paraId="08F4A60F" w14:textId="77777777" w:rsidR="002A6368" w:rsidRDefault="002A6368" w:rsidP="002A6368">
      <w:pPr>
        <w:pStyle w:val="7"/>
      </w:pPr>
    </w:p>
    <w:p w14:paraId="27E0F943" w14:textId="02E52014" w:rsidR="002A6368" w:rsidRDefault="002A6368" w:rsidP="002A6368">
      <w:pPr>
        <w:pStyle w:val="6"/>
      </w:pPr>
      <w:r>
        <w:t>Исследование посвящено изучению и анализу описаний русского и литовского общества в средневековых источниках, созданных иностранными авторами. В работе рассматривается, какие аспекты повседневной жизни, традиции и культурные особенности народов Древней Руси и Литвы привлекали внимание иностранных наблюдателей, какие представления о них формировались за рубежом.</w:t>
      </w:r>
      <w:r>
        <w:rPr>
          <w:lang w:val="ru-RU"/>
        </w:rPr>
        <w:t xml:space="preserve"> </w:t>
      </w:r>
      <w:r>
        <w:t>Доклад позволяет проследить, какие черты были наиболее примечательны для иностранных наблюдателей, какие стереотипы формировались вокруг древнерусского и литовского народов, и как эти представления отражались на взаимодействии между Востоком и Западом в средние века.</w:t>
      </w:r>
    </w:p>
    <w:p w14:paraId="7CC754E8" w14:textId="77777777" w:rsidR="002A6368" w:rsidRPr="0097408C" w:rsidRDefault="002A6368" w:rsidP="002A6368">
      <w:pPr>
        <w:spacing w:after="0" w:line="240" w:lineRule="auto"/>
        <w:ind w:firstLine="709"/>
        <w:jc w:val="both"/>
      </w:pPr>
    </w:p>
    <w:p w14:paraId="061132C2" w14:textId="7F75D9BA" w:rsidR="002A6368" w:rsidRDefault="002A6368" w:rsidP="002A6368">
      <w:pPr>
        <w:pStyle w:val="7"/>
      </w:pPr>
      <w:r>
        <w:t>Одно из наиболее ранних полных описаний быта и традиций населения Руси принадлежит арабскому географу персидского происхождения Ибн Русте. Изложено оно было в трактате «Китаб ал-алак ан-нафиса», датируемым началом Х века [</w:t>
      </w:r>
      <w:r w:rsidR="00E207AA">
        <w:t>2</w:t>
      </w:r>
      <w:r>
        <w:t>]. Вот, собственно, само описание:</w:t>
      </w:r>
    </w:p>
    <w:p w14:paraId="5CD4F44C" w14:textId="77777777" w:rsidR="002A6368" w:rsidRDefault="002A6368" w:rsidP="002A6368">
      <w:pPr>
        <w:pStyle w:val="7"/>
      </w:pPr>
      <w:r>
        <w:t xml:space="preserve">«... И между странами печенегов и славян расстояние в 10 дней пути. В самом начале пределов славянских находится город, называемый Ва. т. Путь в эту сторону идет по степям и бездорожным землям через ручьи и дремучие леса. Страна славян – ровная и лесистая, и они в ней живут. И нет у них виноградников и пахотных полей. И есть у них нечто вроде бочонков, сделанных из дерева, в которых находятся ульи и мед. Называется это у них улишдж, и из одного бочонка добывается до 10 кувшинов меду. И они народ, пасущий свиней, как (мы) овец. Когда умирает у них кто-либо, труп его сжигают. Женщины же, когда случится у них покойник, царапают себе ножом руки и лица. На другой день после сожжения покойника они идут на место, где это происходило, собирают пепел с того места и кладут его на </w:t>
      </w:r>
      <w:r>
        <w:lastRenderedPageBreak/>
        <w:t>холм. И по прошествии года после смерти покойника берут они бочонков двадцать или больше меда, отправляются на тот холм, где собирается семья покойного, едят там и пьют, а затем расходятся. И все они поклоняются огню. Большая часть их посевов из проса. Во время жатвы они берут ковш с просяными зернами, поднимают к небу и говорят: «Господи, ты, который (до сих пор) снабжал нас пищей, снабди и теперь нас ею в изобилии».</w:t>
      </w:r>
    </w:p>
    <w:p w14:paraId="70ACEDCF" w14:textId="0302A27A" w:rsidR="002A6368" w:rsidRDefault="002A6368" w:rsidP="002A6368">
      <w:pPr>
        <w:pStyle w:val="7"/>
      </w:pPr>
      <w:r>
        <w:t>Есть у них разного рода лютни, гусли и свирели. Их свирели длиной в два локтя, лютня же восьмиструнная. Их хмельной напиток из меда. При сожжении покойника они предаются шумному веселью, выражая радость по поводу милости, оказанной ему богом.  В их стране холод до того силен, что каждый из них выкапывает себе в земле род погреба, к которому приделывают деревянную остроконечную крышу, наподобие христианской церкви, и на крышу накладывают землю. В такие погреба переселяются со всем семейством и, взяв дров и камней, разжигают огонь и раскаляют камни до высшей степени, их обливают водой, отчего распространяется пар, нагревающий жилье до того, что снимают даже одежду. В таком жилье остаются до весны. Царь ежегодно объезжает их. И если у кого из них есть дочь, то царь берет себе по одному из ее платьев в год, а если сын, то также берет по одному из платьев в год. У кого же нет ни сына, ни дочери, тот дает по одному из платьев жены или рабыни в год. И если поймает царь в своей стране вора, то либо приказывает его удушить, либо отдает под надзор одного из правителей на окраинах своих владений» [</w:t>
      </w:r>
      <w:r w:rsidR="00E207AA">
        <w:t>1</w:t>
      </w:r>
      <w:r>
        <w:t>, с. 387–389].</w:t>
      </w:r>
    </w:p>
    <w:p w14:paraId="352C151D" w14:textId="38A503F4" w:rsidR="002A6368" w:rsidRDefault="002A6368" w:rsidP="002A6368">
      <w:pPr>
        <w:pStyle w:val="7"/>
      </w:pPr>
      <w:r>
        <w:t>Столь специфичное описание касается, вероятно, земель вятичей, либо Киева [</w:t>
      </w:r>
      <w:r w:rsidR="00E207AA">
        <w:t>3</w:t>
      </w:r>
      <w:r>
        <w:t>]. Прекрасно раскрыты нравы славян и то, как осуществляется сбор дани князем. Однако, это только половина интересующего нас описания. У Ибн Русты поделены описания славянских земель и земель конкретно Руси. И вот, что пишет арабский ученый о последних:</w:t>
      </w:r>
    </w:p>
    <w:p w14:paraId="7732B733" w14:textId="77777777" w:rsidR="002A6368" w:rsidRDefault="002A6368" w:rsidP="002A6368">
      <w:pPr>
        <w:pStyle w:val="7"/>
      </w:pPr>
      <w:r>
        <w:t xml:space="preserve">«... Что же касается ар-Русийи, то она находится на острове, окруженном озером. Остров, на котором они (русы) живут, протяженностью в три дня пути, покрыт лесами и болотами, нездоров и сыр от того, что стоит только человеку ступить ногой на землю, как последняя трясется из-за обилия в ней влаги. У них есть царь, называемый хакан русов. Они нападают на славян, подъезжают к ним на кораблях, высаживаются, забирают их в плен, везут в Хазаран и Булкар и там продают. Они не имеют пашен, а питаются лишь тем, что привозят из земли славян. Когда у них рождается сын, то он (рус) дарит новорожденному обнаженный меч, кладет его перед ребенком и говорит: «Я не оставлю тебе в наследство никакого имущества и нет у тебя ничего, кроме того, что приобретешь этим мечом». И нет у них недвижимого имущества, ни деревень, ни пашен. Единственное их занятие – торговля соболями, белками и прочими мехами, которые они продают покупателям. Получают они назначенную цену деньгами и завязывают их в </w:t>
      </w:r>
      <w:r>
        <w:lastRenderedPageBreak/>
        <w:t>свои пояса. Они соблюдают чистоту своих одежд, их мужчины носят золотые браслеты. С рабами они обращаются хорошо и заботятся об их одежде, потому что торгуют ими. У них много городов, и живут они привольно. Гостям оказывают почет, и с чужеземцами, которые ищут их покровительства, обращаются хорошо, так же как и с теми, кто часто у них бывает, не позволяя никому из своих обижать или притеснять таких людей. Если же кто из них обидит или притеснит чужеземца, то помогают и защищают последнего.</w:t>
      </w:r>
    </w:p>
    <w:p w14:paraId="6FAB0C2C" w14:textId="77777777" w:rsidR="002A6368" w:rsidRDefault="002A6368" w:rsidP="002A6368">
      <w:pPr>
        <w:pStyle w:val="7"/>
      </w:pPr>
      <w:r>
        <w:t>Мечи у них сулеймановы. И если какое-либо их племя, род (поднимается, против кого-либо), то вступаются все они. И нет, тогда (между ними) розни, но выступают единодушно на врага, пока его не победят.</w:t>
      </w:r>
    </w:p>
    <w:p w14:paraId="0FFEDC83" w14:textId="77777777" w:rsidR="002A6368" w:rsidRDefault="002A6368" w:rsidP="002A6368">
      <w:pPr>
        <w:pStyle w:val="7"/>
      </w:pPr>
      <w:r>
        <w:t>Есть у них знахари, из которых иные повелевают царем, как будто бы они их (русов) начальники. Случается, что они приказывают принести жертву творцу их тем, чем они пожелают: женщинами, мужчинами, скотом. И если знахари приказывают, то не исполнить их приказания никак невозможно. Взяв человека или животное, знахарь накидывает ему на шею петлю, вешает жертву на бревно и ждет, пока она не задохнется, и говорит, что это жертва богу.</w:t>
      </w:r>
    </w:p>
    <w:p w14:paraId="3F5E500D" w14:textId="5892C003" w:rsidR="002A6368" w:rsidRDefault="002A6368" w:rsidP="002A6368">
      <w:pPr>
        <w:pStyle w:val="7"/>
      </w:pPr>
      <w:r>
        <w:t>Они храбры и мужественны, и если нападают на другой народ, то не отстают, пока не уничтожат его полностью. Побежденных истребляют или обращают в рабство. Они высокого роста, статные и смелые при нападениях. Но на коне смелости не проявляют и все свои набеги, походы совершают на кораблях. (Русы) носят широкие шаровары, на каждые из которых идет сто локтей материи. Все они постоянно носят мечи, так как мало доверяют друг другу, и коварство между ними дело обыкновенное. Если кому из них удается приобрести хоть немного имущества, то родной брат или товарищ его тотчас начнет ему завидовать и пытаться его убить или ограбить. Когда у них умирает кто-либо из знатных, ему выкапывают могилу в виде большого дома, кладут его туда и вместе с ним кладут в ту же могилу его одежды и золотые браслеты, которые он носил. Затем опускают туда же множество съестных припасов, сосуды с напитками и чеканную монету. Наконец, в могилу кладут живую любимую жену покойника. После этого отверстие могилы закладывают, и жена умирает в заточении» [</w:t>
      </w:r>
      <w:r w:rsidR="00E207AA">
        <w:t>1</w:t>
      </w:r>
      <w:r>
        <w:t>, с. 397–398].</w:t>
      </w:r>
    </w:p>
    <w:p w14:paraId="2031E0FC" w14:textId="77777777" w:rsidR="002A6368" w:rsidRDefault="002A6368" w:rsidP="002A6368">
      <w:pPr>
        <w:pStyle w:val="7"/>
      </w:pPr>
      <w:r>
        <w:t xml:space="preserve">Из описаний земель Руси Ибн Русты следует, что в глазах арабского географа Русь выглядела типичной варварской языческой страной с дикими обычаями и ритуалами, а также с крайне агрессивным поведением по отношению к окружавшим Русь народам. При этом, религиозный институт жречества играл крайне важную роль у русов, что говорит о высокой степени набожности населения. В пользу последнего говорит и обычай </w:t>
      </w:r>
      <w:r>
        <w:lastRenderedPageBreak/>
        <w:t xml:space="preserve">самоубийства жены погибшего князя, напоминающий подобный у скандинавских язычников. </w:t>
      </w:r>
    </w:p>
    <w:p w14:paraId="3490EA5B" w14:textId="77777777" w:rsidR="002A6368" w:rsidRDefault="002A6368" w:rsidP="002A6368">
      <w:pPr>
        <w:pStyle w:val="7"/>
      </w:pPr>
      <w:r>
        <w:t>Русь в глазах Ибн Русты имеет черты, которыми в современной культуре принято наделять скандинавских викингов – отсутствие передового земледелия, крупный торговый оборот пушниной, жестокие языческие ритуалы, грабительские походы на кораблях и отсутствие организованной конницы.</w:t>
      </w:r>
    </w:p>
    <w:p w14:paraId="367B717D" w14:textId="77777777" w:rsidR="002A6368" w:rsidRDefault="002A6368" w:rsidP="002A6368">
      <w:pPr>
        <w:pStyle w:val="7"/>
      </w:pPr>
      <w:r>
        <w:t>Крайне важен тот момент, что земли современной Беларуси попадают не только на территории Древней Руси, но и к славянским землям, к которой Ибн Руста применял, хоть и схожее, но все же отличное от земель Руси описание. Таким образом, оба эти описания крайне важны для настоящего исследования и предлагают на удивление полную картину того, как жило тогдашнее общество на русских и других славянских землях до их крещения.</w:t>
      </w:r>
    </w:p>
    <w:p w14:paraId="38BD8660" w14:textId="77777777" w:rsidR="002A6368" w:rsidRDefault="002A6368" w:rsidP="002A6368">
      <w:pPr>
        <w:pStyle w:val="7"/>
      </w:pPr>
      <w:r>
        <w:t>Вероятно, именно схожестью быта славян (включая русов) и скандинавов обусловлено то, что в скандинавских средневековых источниках вопрос обыденной жизни населения Руси отражен очень слабо, можно сказать, практически не отражен. Конечно, это связано еще и со специфичным эпическим стилем повествования, который не предполагает детального описания неэпических действий, однако все-таки, если бы существенные отличия присутствовали бы, то они безусловно нашли бы отражение.</w:t>
      </w:r>
    </w:p>
    <w:p w14:paraId="59D8F308" w14:textId="77777777" w:rsidR="002A6368" w:rsidRDefault="002A6368" w:rsidP="002A6368">
      <w:pPr>
        <w:pStyle w:val="7"/>
      </w:pPr>
      <w:r>
        <w:t xml:space="preserve">Результаты изучения материала показали, что описаний быта русов в европейских средневековых источниках крайне мало, из чего можно сделать вывод, что Русь не была объектом большого интереса для Европы. Хотя в Европе понимали, что Русь – это христианская общность, с которой возможен диалог культур, все-таки вхождение русов в орбиту влияния православной церкви делало контакты затруднительными. Немногие же действовавшие связи были представлены торговыми и миссионерскими контактами. В отличии от европейцев, арабские географы воспринимали Русь с большим интересом. Ибн Руста и Ибн Хордадбех писали о Руси без какой-либо враждебности, даже несмотря на то, что в период их деятельности Русь была языческой. Образ Руси в арабских источниках позволяет говорит о родственно-тесной культурной близости Руси и Скандинавии. Русь, при этом, очевидно, была интересна мусульманам как торговый партнер, о чем говорит прикладной характер сведений.- Византийские источники располагают наиболее полным спектром описаний Руси. Описываются в первую очередь нетипичные обстоятельства контактов с ними – вооруженные столкновения в ходе их грабительских нападений. Конечно, чаще всего образ Руси соответствует образу языческого варвара-разорителя, при этом, реальные сведения о бесчинствах </w:t>
      </w:r>
      <w:r>
        <w:lastRenderedPageBreak/>
        <w:t>русов переплетаются со слухами о других не ромейских народах. При этом, в сведениях византийских источников встречается очень нетипичная для римской традиции тенденция – признание воинских заслуг налетчиков и военных талантов их предводителей. Конечно, вызвано это не столько уважением, сколько потребностью драматизировать повествование, однако в отношении других варварских народов такой пиетет римской традицией не признается. Образ русов, как и в случае с арабскими источниками, почти полностью совпадает с образом скандинавских налетчиков-викингов. Однако интересно наблюдать за изменениями, произошедшими спустя два века после принятия христианства.</w:t>
      </w:r>
    </w:p>
    <w:p w14:paraId="72F051CB" w14:textId="77777777" w:rsidR="002A6368" w:rsidRDefault="002A6368" w:rsidP="002A6368">
      <w:pPr>
        <w:pStyle w:val="7"/>
      </w:pPr>
    </w:p>
    <w:p w14:paraId="15391040" w14:textId="77777777" w:rsidR="00E207AA" w:rsidRDefault="00E207AA" w:rsidP="002A6368">
      <w:pPr>
        <w:pStyle w:val="7"/>
      </w:pPr>
    </w:p>
    <w:p w14:paraId="4CF8EFDA" w14:textId="03B8310C" w:rsidR="002A6368" w:rsidRDefault="002A6368" w:rsidP="002A6368">
      <w:pPr>
        <w:pStyle w:val="8"/>
        <w:numPr>
          <w:ilvl w:val="0"/>
          <w:numId w:val="39"/>
        </w:numPr>
        <w:ind w:left="0" w:firstLine="709"/>
      </w:pPr>
      <w:r>
        <w:t xml:space="preserve">Древнерусское государство и его международное значение [Текст] / Акад. наук СССР. Ин-т истории; А. П. Новосельцев, В. Т. Пашуто, Л. В. Черепнин и др. </w:t>
      </w:r>
      <w:r w:rsidRPr="002A6368">
        <w:rPr>
          <w:lang w:val="ru-RU"/>
        </w:rPr>
        <w:t>–</w:t>
      </w:r>
      <w:r>
        <w:t xml:space="preserve"> Москва</w:t>
      </w:r>
      <w:r w:rsidRPr="002A6368">
        <w:rPr>
          <w:lang w:val="ru-RU"/>
        </w:rPr>
        <w:t xml:space="preserve"> </w:t>
      </w:r>
      <w:r>
        <w:t xml:space="preserve">: Наука, 1965. </w:t>
      </w:r>
      <w:r w:rsidRPr="002A6368">
        <w:rPr>
          <w:lang w:val="ru-RU"/>
        </w:rPr>
        <w:t>–</w:t>
      </w:r>
      <w:r>
        <w:t xml:space="preserve"> 476 с.</w:t>
      </w:r>
    </w:p>
    <w:p w14:paraId="087EDB6D" w14:textId="4C3E4BA3" w:rsidR="002A6368" w:rsidRDefault="002A6368" w:rsidP="002A6368">
      <w:pPr>
        <w:pStyle w:val="8"/>
        <w:numPr>
          <w:ilvl w:val="0"/>
          <w:numId w:val="39"/>
        </w:numPr>
        <w:ind w:left="0" w:firstLine="709"/>
      </w:pPr>
      <w:r>
        <w:t>Ибн Руста. О славянах и русах (из сочинения арабского географа начала X в.) / [Электронный ресурс] // Развивающая образовательная среда Моя история России: [сайт]. – URL: http://ros-istor.ru/node/18</w:t>
      </w:r>
      <w:r>
        <w:rPr>
          <w:lang w:val="ru-RU"/>
        </w:rPr>
        <w:t>. – Д</w:t>
      </w:r>
      <w:r>
        <w:t xml:space="preserve">ата </w:t>
      </w:r>
      <w:r>
        <w:rPr>
          <w:lang w:val="ru-RU"/>
        </w:rPr>
        <w:t>доступа</w:t>
      </w:r>
      <w:r>
        <w:t>: 20.04.2024.</w:t>
      </w:r>
    </w:p>
    <w:p w14:paraId="7AF8F10E" w14:textId="0CE8817D" w:rsidR="002A6368" w:rsidRDefault="002A6368" w:rsidP="002A6368">
      <w:pPr>
        <w:pStyle w:val="8"/>
      </w:pPr>
      <w:r>
        <w:t>Петрухин, В.</w:t>
      </w:r>
      <w:r>
        <w:rPr>
          <w:lang w:val="ru-RU"/>
        </w:rPr>
        <w:t xml:space="preserve"> </w:t>
      </w:r>
      <w:r>
        <w:t>Я. Очерки истории народов России в древности и раннем Средневековье Ибн Русте о славянах и русах / В.Я. Петрухин, Д.С. Раевский [Электронный ресурс] // Oldevrasia : [сайт]. – URL: https://oldevrasia.ru/library/V-YA--Petrukhin--D-S--Raevskiy_Ocherki-istorii-narodov-Rossii-v-drevnosti-i-rannem-Srednevekove/77</w:t>
      </w:r>
      <w:r>
        <w:rPr>
          <w:lang w:val="ru-RU"/>
        </w:rPr>
        <w:t>. – Д</w:t>
      </w:r>
      <w:r>
        <w:t xml:space="preserve">ата </w:t>
      </w:r>
      <w:r>
        <w:rPr>
          <w:lang w:val="ru-RU"/>
        </w:rPr>
        <w:t>доступа</w:t>
      </w:r>
      <w:r>
        <w:t>: 20.04.2024.</w:t>
      </w:r>
    </w:p>
    <w:p w14:paraId="427790AA" w14:textId="77777777" w:rsidR="002A6368" w:rsidRDefault="002A6368" w:rsidP="00E25B19">
      <w:pPr>
        <w:spacing w:after="0" w:line="240" w:lineRule="auto"/>
        <w:ind w:firstLine="709"/>
        <w:jc w:val="both"/>
        <w:rPr>
          <w:rFonts w:ascii="Times New Roman" w:hAnsi="Times New Roman" w:cs="Times New Roman"/>
          <w:sz w:val="28"/>
          <w:szCs w:val="28"/>
        </w:rPr>
      </w:pPr>
    </w:p>
    <w:p w14:paraId="09277977" w14:textId="77777777" w:rsidR="00E207AA" w:rsidRPr="00EF68E3" w:rsidRDefault="000C69B3" w:rsidP="00E207AA">
      <w:pPr>
        <w:pStyle w:val="Standard"/>
        <w:jc w:val="center"/>
        <w:rPr>
          <w:rFonts w:ascii="Times New Roman" w:hAnsi="Times New Roman" w:cs="Times New Roman"/>
          <w:i/>
          <w:sz w:val="28"/>
          <w:szCs w:val="28"/>
          <w:lang w:val="be-BY"/>
        </w:rPr>
      </w:pPr>
      <w:hyperlink w:anchor="_СОДЕРЖАНИЕ" w:history="1">
        <w:r w:rsidR="00E207AA" w:rsidRPr="00EF68E3">
          <w:rPr>
            <w:rStyle w:val="a9"/>
            <w:rFonts w:ascii="Times New Roman" w:hAnsi="Times New Roman" w:cs="Times New Roman"/>
            <w:i/>
            <w:color w:val="auto"/>
            <w:sz w:val="28"/>
            <w:szCs w:val="28"/>
            <w:u w:val="none"/>
            <w:lang w:val="be-BY"/>
          </w:rPr>
          <w:t>К содержанию</w:t>
        </w:r>
      </w:hyperlink>
    </w:p>
    <w:p w14:paraId="4A6B8C9E" w14:textId="77777777" w:rsidR="00E207AA" w:rsidRDefault="00E207AA" w:rsidP="00E207AA">
      <w:pPr>
        <w:spacing w:after="0" w:line="240" w:lineRule="auto"/>
        <w:ind w:firstLine="709"/>
        <w:jc w:val="both"/>
        <w:rPr>
          <w:rFonts w:ascii="Times New Roman" w:hAnsi="Times New Roman" w:cs="Times New Roman"/>
          <w:sz w:val="28"/>
          <w:szCs w:val="28"/>
        </w:rPr>
      </w:pPr>
    </w:p>
    <w:p w14:paraId="0B0A6B19" w14:textId="77777777" w:rsidR="00617D0B" w:rsidRDefault="00617D0B" w:rsidP="00E25B19">
      <w:pPr>
        <w:spacing w:after="0" w:line="240" w:lineRule="auto"/>
        <w:ind w:firstLine="709"/>
        <w:jc w:val="both"/>
        <w:rPr>
          <w:rFonts w:ascii="Times New Roman" w:hAnsi="Times New Roman" w:cs="Times New Roman"/>
          <w:sz w:val="28"/>
          <w:szCs w:val="28"/>
        </w:rPr>
      </w:pPr>
    </w:p>
    <w:p w14:paraId="0BFEE0F8" w14:textId="77777777" w:rsidR="002E4BD4" w:rsidRDefault="002E4BD4" w:rsidP="00E25B19">
      <w:pPr>
        <w:spacing w:after="0" w:line="240" w:lineRule="auto"/>
        <w:ind w:firstLine="709"/>
        <w:jc w:val="both"/>
        <w:rPr>
          <w:rFonts w:ascii="Times New Roman" w:hAnsi="Times New Roman" w:cs="Times New Roman"/>
          <w:sz w:val="28"/>
          <w:szCs w:val="28"/>
        </w:rPr>
      </w:pPr>
    </w:p>
    <w:p w14:paraId="2FBAD4D6" w14:textId="77777777" w:rsidR="00617D0B" w:rsidRDefault="00617D0B" w:rsidP="00617D0B">
      <w:pPr>
        <w:pStyle w:val="12"/>
      </w:pPr>
      <w:r>
        <w:t>УДК 930.85</w:t>
      </w:r>
    </w:p>
    <w:p w14:paraId="553FEF2B" w14:textId="77777777" w:rsidR="00617D0B" w:rsidRDefault="00617D0B" w:rsidP="00617D0B">
      <w:pPr>
        <w:pStyle w:val="14"/>
      </w:pPr>
      <w:bookmarkStart w:id="100" w:name="_Toc181894115"/>
      <w:r>
        <w:t>Н.В. БУДЬКО</w:t>
      </w:r>
      <w:bookmarkEnd w:id="100"/>
    </w:p>
    <w:p w14:paraId="2D83DC2D" w14:textId="4DD5D8CA" w:rsidR="00617D0B" w:rsidRDefault="00617D0B" w:rsidP="00617D0B">
      <w:pPr>
        <w:pStyle w:val="3"/>
      </w:pPr>
      <w:r>
        <w:t xml:space="preserve">Брест, БрГУ имени А.С. </w:t>
      </w:r>
      <w:r>
        <w:rPr>
          <w:spacing w:val="-2"/>
        </w:rPr>
        <w:t>Пушкина</w:t>
      </w:r>
    </w:p>
    <w:p w14:paraId="36A27A4C" w14:textId="5F52B74C" w:rsidR="00617D0B" w:rsidRDefault="00617D0B" w:rsidP="00617D0B">
      <w:pPr>
        <w:pStyle w:val="4"/>
      </w:pPr>
      <w:r>
        <w:t>Научный руководитель: Г.И. Посохина, к.и.н., доцент</w:t>
      </w:r>
    </w:p>
    <w:p w14:paraId="123A882F" w14:textId="77777777" w:rsidR="00617D0B" w:rsidRDefault="00617D0B" w:rsidP="00617D0B">
      <w:pPr>
        <w:pStyle w:val="7"/>
      </w:pPr>
    </w:p>
    <w:p w14:paraId="6A872CFE" w14:textId="673C8DB0" w:rsidR="00617D0B" w:rsidRDefault="00617D0B" w:rsidP="00617D0B">
      <w:pPr>
        <w:pStyle w:val="5"/>
      </w:pPr>
      <w:r>
        <w:t xml:space="preserve">МАССОВАЯ КУЛЬТУРА ЯПОНИИ В 1930-Х – </w:t>
      </w:r>
      <w:r>
        <w:br/>
        <w:t>ПЕРВОЙ ПОЛОВИНЕ 1940-Х ГОДОВ КАК СРЕДСТВО ШОВИНИСТСКОЙ И ВОЕННОЙ ПРОПАГАНДЫ</w:t>
      </w:r>
    </w:p>
    <w:p w14:paraId="5ED5F5C5" w14:textId="77777777" w:rsidR="00617D0B" w:rsidRDefault="00617D0B" w:rsidP="00617D0B">
      <w:pPr>
        <w:pStyle w:val="7"/>
      </w:pPr>
    </w:p>
    <w:p w14:paraId="51427D2D" w14:textId="77777777" w:rsidR="00617D0B" w:rsidRDefault="00617D0B" w:rsidP="00617D0B">
      <w:pPr>
        <w:pStyle w:val="6"/>
      </w:pPr>
      <w:r>
        <w:t>В работе рассматривается воздействие японского правительства на население Японии в период с начала 1930-х по окончание Второй Мировой войны через массовую культуру страны, включая кинематограф, мультипликацию, рисованную продукцию и военную музыку.</w:t>
      </w:r>
    </w:p>
    <w:p w14:paraId="7EC915CA" w14:textId="77777777" w:rsidR="00617D0B" w:rsidRDefault="00617D0B" w:rsidP="00617D0B">
      <w:pPr>
        <w:pStyle w:val="7"/>
      </w:pPr>
    </w:p>
    <w:p w14:paraId="0355DC8C" w14:textId="77777777" w:rsidR="00617D0B" w:rsidRDefault="00617D0B" w:rsidP="00617D0B">
      <w:pPr>
        <w:pStyle w:val="7"/>
        <w:rPr>
          <w:rFonts w:cs="Trebuchet MS"/>
          <w:spacing w:val="-4"/>
        </w:rPr>
      </w:pPr>
      <w:r>
        <w:rPr>
          <w:spacing w:val="-4"/>
        </w:rPr>
        <w:lastRenderedPageBreak/>
        <w:t>Приход к власти императора Хирохито и начало эпохи Сева ознаменовал увеличение влияния в правительственном кабинете амбициозных военных [1, с. 41]. Политическое руководство Японии для консолидации общества и навязывания массам военных и националистических идей начало организованно применять методы идеологического воздействия. Там же понимали, что одним из мощных средств этого самого воздействия является кино, поэтому в этой сфере изменение ситуации началось еще в апреле 1936-го года, когда был открыт журнал «Нихон эйга» («Японское кино»). Первый его выпуск был открыт статьей японского писателя и предпринимателя в области литературы Кана Кикути, где тот указал на необходимость создания пропагандистского органа Киноассоциации великой Японии, коим и должен был стать вышеупомянутый журнал [2, с. 115]. Сама же Киноассоциация, созданная в ноябре 1935 года при участии министерства внутренних дел и министерства просвещения, была обязана способствовать появлению «здоровых», «оптимистических» фильмов, а также формированию и обновлению общественной морали, выполнению патриотического долга кино. Однако в первые три года своего существования она не занималась вышеуказанными задачами, ограничившись проведением конкурсов на лучший документальный фильм, а также на лучшие рекламы для табачной, солевой и жемчужной кампании [2, с. 117]. Осознав бездействие Киноассоциации, управление охраны общественного спокойствия министерства внутренних дел решило усилить цензуру в области кино. Произошло это осенью 1936 года, и с этих пор в фильмах были запрещены кадры с поцелуями и танцами. Кроме того, было запрещено ставить ленты об императорском доме. Вводились данные параграфы под эгидой борьбы за чистоту нравов и морали [2, с. 119]. Это относилось и к иностранным фильмам. В их число попала «Цецилия» Джозефа фон Штернберга и «Мария Шотландская» Джона Форда, которые были отправлены обратно в США из-за наличия там сцен заговоров и интриг в королевской семье [2, с. 120].</w:t>
      </w:r>
    </w:p>
    <w:p w14:paraId="0FFAAB92" w14:textId="77777777" w:rsidR="00617D0B" w:rsidRDefault="00617D0B" w:rsidP="00617D0B">
      <w:pPr>
        <w:pStyle w:val="7"/>
        <w:rPr>
          <w:spacing w:val="-4"/>
        </w:rPr>
      </w:pPr>
      <w:r>
        <w:rPr>
          <w:spacing w:val="-4"/>
        </w:rPr>
        <w:t xml:space="preserve">После начала японо-китайской войны Министерство внутренних дел и Отдел массовой информации имперской армии полностью взяли под свой контроль производство фильмов в стране. В 1939 году был введен «Закон о кино», по которому вышеперечисленные структуры могли свободно останавливать деятельность любой неугодной кинокомпании, воздействовать на режиссеров, актеров, а также цензурировать сценарий. Несмотря на это были немногочисленные примеры сопротивления данному закону и ограничениям, к которым относится Фумио Камэи со своим фильмом «Сражающиеся солдаты» 1940 года, после съемок которого тот был лишен возможности заниматься режиссурой. В 1940 году были внесены некоторые изменения в политике государства, касающейся фильмов: ограничение появления на экранах комедиантов и сатириков, запрет съемки фильмов о </w:t>
      </w:r>
      <w:r>
        <w:rPr>
          <w:spacing w:val="-4"/>
        </w:rPr>
        <w:lastRenderedPageBreak/>
        <w:t>мелкой буржуазии и богатых, о превознесении личного счастья. Также запрещены сцены с курящими женщинами и жизнью ночных кабаре. Создание же фильмов о производственной сфере жизни нации поощрялось [4, с. 68].</w:t>
      </w:r>
    </w:p>
    <w:p w14:paraId="1E94C92C" w14:textId="77777777" w:rsidR="00617D0B" w:rsidRDefault="00617D0B" w:rsidP="00617D0B">
      <w:pPr>
        <w:pStyle w:val="7"/>
        <w:rPr>
          <w:spacing w:val="-4"/>
        </w:rPr>
      </w:pPr>
      <w:r>
        <w:rPr>
          <w:spacing w:val="-4"/>
        </w:rPr>
        <w:t>Таким образом, начался выпуск фильмов почти исключительно «в рамках национальной политики» (кокусаку эйга), которые имели свои особенности. Китайцы изображались военными, использующими подлые приемы, стрельбу в спину. Показ врага в кадре всячески избегался, противники японской армии изображались на большом расстоянии. Например, в фильме Ютаки Абэ «Пылающее небо» 1940 года китайские солдаты стреляют по японским летчикам во время их вынужденной посадки, из-за чего первых не видно, а в фильмах Кадзиро Ямамото о воздушных баталиях либо видно только вражескую технику противника, либо только спины этих же китайских солдат. Были и исключения в виде «Малайского тигра» Масато Коги и «Опиумной войны» Масахиро Макино, вышедших в 1943 году, где китайцы были открыто показаны, к примеру, в сценах проводимых ими пыток японских солдат. Второй чертой был акцент на изображении человеческих черт в характерах японских солдат, а также части других участвующих в ленте лиц. Она отчетливо прослеживается в фильме режиссера Кодзабуро Есимуры и сценариста Кого Ноды «Повествование о командире танка Нисидзуми» 1940 года. Стоит заметить, что данная лента больше стремится показать человеческие черты Нисидзуми, а также японского и китайского солдата, нежели героические и патриотические. Еще одна особенность фильма заключается в изображении наступления японцев с позиции китайцев [4, с. 69]. Одними из черт тогдашних японских фильмов кроме вышеперечисленного являются затрагивание темы геройской смерти на поле битвы, а также отображение войны как разновидности тренировки духа. В некоторых лентах изображались полудокументальные сцены тренировок («Война на море от Гавайев до Малайи») [4, с. 70]. Томотака Тасака, режиссер фильма «Земля и солдаты», наполнил его многочисленными сценами с маршировкой по грязным дорогам пехоты, отображая ее как тренировку дисциплины духа, ведь он считал, что война – это в основном ходьба. В фильме повторяются единичные действия ходьбы, в процессе чего зритель начинает отбрасывать в сторону собственное эго и сочувствовать солдату [4, с. 71].</w:t>
      </w:r>
    </w:p>
    <w:p w14:paraId="4CF65B40" w14:textId="77777777" w:rsidR="00617D0B" w:rsidRDefault="00617D0B" w:rsidP="00617D0B">
      <w:pPr>
        <w:pStyle w:val="7"/>
        <w:rPr>
          <w:spacing w:val="-4"/>
        </w:rPr>
      </w:pPr>
      <w:r>
        <w:rPr>
          <w:spacing w:val="-4"/>
        </w:rPr>
        <w:t>Пропагандистские тенденции претерпела и манга – японская разновидность комиксов [1, с. 7]. Кроме того, их же претерпела и зарождающаяся в этот момент японская анимация, которая часто основывалась на сюжетах авторов манги. Если режиссеры и сценаристы японских кинофильмов редко могли отклониться от поставленного правительством культурного курса, то мангакам – художникам и авторам манги частично удавалось это сделать путем перехода на создание детских и эротических комиксов [1, с. 41].</w:t>
      </w:r>
    </w:p>
    <w:p w14:paraId="22177DEB" w14:textId="77777777" w:rsidR="00617D0B" w:rsidRDefault="00617D0B" w:rsidP="00617D0B">
      <w:pPr>
        <w:pStyle w:val="7"/>
        <w:rPr>
          <w:spacing w:val="-4"/>
        </w:rPr>
      </w:pPr>
      <w:r>
        <w:rPr>
          <w:spacing w:val="-4"/>
        </w:rPr>
        <w:lastRenderedPageBreak/>
        <w:t>Художественный символ тогдашней эпохи – популярная на тот момент манга Суйхо Тагавы «Норакуро» с карикатурными человекоподобными животными в качестве персонажей. Ее сюжет рассказывал об одноименном псе-вояке, который в процессе военной службы проходит все военные чины от рядового до капитана. Сама животная армия в произведении показана пародийно. Со временем юмористический тон снижался в пользу исконно военного. В тридцатых годах по мотивам этой манги создавались короткометражные мультфильмы, в том числе под руководством Ясудзи Мураты, который привнес в японскую анимацию технику «тотальной анимации» взамен «перекладочной». Однако «Норакуро» был запрещен в 1941 году, так как в нем расценили насмешку над японской армией. Достойна упоминания и манга «Приключения Данкити» Кэйдзо Симады, которая рассказывает о мальчике, попавшем на один из тихоокеанских островов. Там он дружится и общается с туземцами, а позже учит их поклоняться японскому флагу и бороться с иностранными захватчиками [1, с. 42].</w:t>
      </w:r>
    </w:p>
    <w:p w14:paraId="7A4667C6" w14:textId="77777777" w:rsidR="00617D0B" w:rsidRDefault="00617D0B" w:rsidP="00617D0B">
      <w:pPr>
        <w:pStyle w:val="7"/>
        <w:rPr>
          <w:spacing w:val="-4"/>
        </w:rPr>
      </w:pPr>
      <w:r>
        <w:rPr>
          <w:spacing w:val="-4"/>
        </w:rPr>
        <w:t>С началом же японо-китайской войны 1937-1945 годов правительство начало финансирование и координирование манги и анимации агитационного характера, был создан «Новый японский союз создателей манги», который издавал свой собственный журнал «Манга», выходивший до самого конца войны даже в условиях нехватки бумаги в стране. Из анимационных работ этого периода можно выделить мультфильмы из цикла «Момотаро» за авторством режиссера Мицуе Сэо. Первым в серии стал «Момотаро – морской орел» 1943 года, который был заказан правительством как первый большой японский анимационный фильм. В нем было воспроизведено нападение японской авиации на Перл-Харбор, причем «правильно истолкованное для детей». Стоит отметить, что мальчик Момотаро – персонаж японского фольклора, который борется с демонами «они». Делая упор на это, демоны заменялись на врагов японской армии. В 1945 году вышло продолжение первой работы Сэо «Момотаро – божественный моряк», где человекообразные зверюшки в качестве морских пехотинцев освобождали Индонезию и Малайзию от американцев, представленных в виде карикатурных рогатых чертей [1, с. 45]. Из манги военного периода можно выделить и работу Рюити Екоямы «Воин науки приходит в Нью-Йорк», где главный герой внутри огромного боевого робота разрушал указанный в названии город [1, с. 44].</w:t>
      </w:r>
    </w:p>
    <w:p w14:paraId="7A081B1A" w14:textId="77777777" w:rsidR="00617D0B" w:rsidRDefault="00617D0B" w:rsidP="00617D0B">
      <w:pPr>
        <w:pStyle w:val="7"/>
        <w:rPr>
          <w:spacing w:val="-4"/>
        </w:rPr>
      </w:pPr>
      <w:r>
        <w:rPr>
          <w:spacing w:val="-4"/>
        </w:rPr>
        <w:t>Кроме всего прочего, в военный и межвоенный период в Японии закончил формироваться и начал распространяться жанр военной песни, получивший здесь название «гунка». Причем гункой можно считать не только песни, написанные для солдат, но и те, что были написаны для гражданского населения. Это обосновывается и разнообразием авторов этих песен [3, с. 216].</w:t>
      </w:r>
    </w:p>
    <w:p w14:paraId="24049E2C" w14:textId="77777777" w:rsidR="00617D0B" w:rsidRDefault="00617D0B" w:rsidP="00617D0B">
      <w:pPr>
        <w:pStyle w:val="7"/>
        <w:rPr>
          <w:spacing w:val="-4"/>
        </w:rPr>
      </w:pPr>
      <w:r>
        <w:rPr>
          <w:spacing w:val="-4"/>
        </w:rPr>
        <w:t xml:space="preserve">С начала реставрации Мейдзи, когда гунка начала свое формирование, в написании японских военных песен участвовали иностранцы. Примером </w:t>
      </w:r>
      <w:r>
        <w:rPr>
          <w:spacing w:val="-4"/>
        </w:rPr>
        <w:lastRenderedPageBreak/>
        <w:t>могут служить Джон Фентон и Франц Эккерт, которые участвовали в написании музыки национального гимна «Кимигае». Иностранные композиторы оставляли японскую мелодику неизменной, благодаря чему музыка сохраняла свой национальный окрас и идентичность. Чуть позже японцы сами стали писать музыку [3, с. 217]. Со времен же второй японо-китайской войны издательства газет проводили конкурсы на написание военных песен, привлекая таким образом к этой деятельности гражданских. Стоит заметить, что авторство многих таких песен, и особенно периода второй японо-китайской войны, является неустановленным. То есть известны не все имена композиторов и авторов текстов к самой музыке. Также часть подобных песен, имеющих больше антивоенный характер и выходивших ближе к концу войны, не имела авторов из-за того, что такие песни широко разошлись в народе и были придуманы не конкретным человеком, а зачастую группой лиц [5].</w:t>
      </w:r>
    </w:p>
    <w:p w14:paraId="6034BCD9" w14:textId="77777777" w:rsidR="00617D0B" w:rsidRDefault="00617D0B" w:rsidP="00617D0B">
      <w:pPr>
        <w:pStyle w:val="7"/>
        <w:rPr>
          <w:spacing w:val="-4"/>
        </w:rPr>
      </w:pPr>
      <w:r>
        <w:rPr>
          <w:spacing w:val="-4"/>
        </w:rPr>
        <w:t>Во время русско-японской войны 1904-1905 годов появляются такие песни, как «Подполковник Татибана» и «Капитан второго ранга Хиросэ», где ставится акцент на героизме, проявленном героями этих композиций. Основаны они были на реальных событиях. К примеру, Такео Хиросэ, морской офицер на корабле, участвовавшем в операции у Порт-Артура, во время его потопления вместо эвакуации стал искать потерявшегося из виду подчиненного, не успевшего эвакуироваться, из-за чего остался на корабле и погиб сам. Была известна песня «Отважный небесный герой», написанная после битвы при Халхин-Голе, а также «Вишни одного сезона». Обе прославляют бесстрашие японских летчиков, готовых пойти на смерть ради страны.</w:t>
      </w:r>
    </w:p>
    <w:p w14:paraId="623DB9E1" w14:textId="77777777" w:rsidR="00617D0B" w:rsidRDefault="00617D0B" w:rsidP="00617D0B">
      <w:pPr>
        <w:pStyle w:val="7"/>
        <w:rPr>
          <w:spacing w:val="-4"/>
        </w:rPr>
      </w:pPr>
      <w:r>
        <w:rPr>
          <w:spacing w:val="-4"/>
        </w:rPr>
        <w:t>В период с 1931 по 1945 гг. разворачивается массовая пропаганда. Гунка начинает транслироваться по радио вместе с остальной агитацией, в связи с чем населению радиоприемники отдаются бесплатно или с большой скидкой. Перед новостной сводкой играла «Кимигае», а перед сообщениями о погибших солдатах – «Умиюкаба» [3, с. 219].</w:t>
      </w:r>
    </w:p>
    <w:p w14:paraId="7510DFE6" w14:textId="77777777" w:rsidR="00617D0B" w:rsidRDefault="00617D0B" w:rsidP="00617D0B">
      <w:pPr>
        <w:pStyle w:val="7"/>
        <w:rPr>
          <w:spacing w:val="-4"/>
        </w:rPr>
      </w:pPr>
      <w:r>
        <w:rPr>
          <w:spacing w:val="-4"/>
        </w:rPr>
        <w:t>Однако и в музыке, и в мультипликации со временем стали выходить откровенные антивоенные работы, либо такие, которые не были связаны с войной. К песням подобного рода относится известная в народе «Милашка Су», где лирический герой-новобранец в армии страдает от тягот и издевательств, вспоминая о своей девушке по имени Су, параллельно называя дураками всех, кто записывается в армию [3, с. 220]. В анимации же к таким работам можно отнести первый японский звуковой анимационный фильм «Мир силы и женщин» 1933 года от Кэндзо Масаоки. Среди комиксов особняком стояла «Малышка Фуку» Рюити Екоямы, где девочка по имени Фуку своими проделками отвлекала взрослых от тягот войны [1, с. 43].</w:t>
      </w:r>
    </w:p>
    <w:p w14:paraId="236A81BA" w14:textId="77777777" w:rsidR="00617D0B" w:rsidRDefault="00617D0B" w:rsidP="00617D0B">
      <w:pPr>
        <w:pStyle w:val="7"/>
        <w:rPr>
          <w:spacing w:val="-4"/>
        </w:rPr>
      </w:pPr>
      <w:r>
        <w:rPr>
          <w:spacing w:val="-4"/>
        </w:rPr>
        <w:lastRenderedPageBreak/>
        <w:t>Таким образом, можно сделать вывод, что японское правительство широко применяла военную пропаганду во многих отраслях культуры, однако параллельно появлялись и работы, не всегда имеющие отношение к войне, а также осуждающие ее, что также проявилась в народных песнях последних лет войны.</w:t>
      </w:r>
    </w:p>
    <w:p w14:paraId="47FF8A1F" w14:textId="77777777" w:rsidR="00617D0B" w:rsidRDefault="00617D0B" w:rsidP="00617D0B">
      <w:pPr>
        <w:pStyle w:val="7"/>
      </w:pPr>
    </w:p>
    <w:p w14:paraId="53299380" w14:textId="77777777" w:rsidR="00617D0B" w:rsidRDefault="00617D0B" w:rsidP="00617D0B">
      <w:pPr>
        <w:pStyle w:val="7"/>
      </w:pPr>
    </w:p>
    <w:p w14:paraId="3162A107" w14:textId="77777777" w:rsidR="00617D0B" w:rsidRDefault="00617D0B" w:rsidP="00617D0B">
      <w:pPr>
        <w:pStyle w:val="8"/>
        <w:numPr>
          <w:ilvl w:val="0"/>
          <w:numId w:val="37"/>
        </w:numPr>
        <w:ind w:left="0" w:firstLine="709"/>
      </w:pPr>
      <w:r>
        <w:t>Иванов, Б. А. Введение в японскую анимацию / Б. А. Иванов. – Изд. 2-е. – Москва : Эйзенштейновский центр исследований кинокультуры, 2001. – 336 с.</w:t>
      </w:r>
    </w:p>
    <w:p w14:paraId="2FC8543F" w14:textId="77777777" w:rsidR="00617D0B" w:rsidRDefault="00617D0B" w:rsidP="00617D0B">
      <w:pPr>
        <w:pStyle w:val="8"/>
        <w:numPr>
          <w:ilvl w:val="0"/>
          <w:numId w:val="37"/>
        </w:numPr>
        <w:ind w:left="0" w:firstLine="709"/>
      </w:pPr>
      <w:r>
        <w:t>Ивасаки, А. История японского кино / А. Ивасаки. – Москва : Прогресс, 1966. – 319 с.</w:t>
      </w:r>
    </w:p>
    <w:p w14:paraId="3354D266" w14:textId="77777777" w:rsidR="00617D0B" w:rsidRDefault="00617D0B" w:rsidP="00617D0B">
      <w:pPr>
        <w:pStyle w:val="8"/>
        <w:numPr>
          <w:ilvl w:val="0"/>
          <w:numId w:val="37"/>
        </w:numPr>
        <w:ind w:left="0" w:firstLine="709"/>
      </w:pPr>
      <w:r>
        <w:t>Лига исследователей МГПУ: сборник статей. В 3 т. / Московский городской педагогический университет ; редкол.: Р. Г. Резаков [и др.]. – Москва : ПАРАДИГМА, 2023. – Т. 2. – 393 с.</w:t>
      </w:r>
    </w:p>
    <w:p w14:paraId="581860E7" w14:textId="77777777" w:rsidR="00617D0B" w:rsidRDefault="00617D0B" w:rsidP="00617D0B">
      <w:pPr>
        <w:pStyle w:val="8"/>
        <w:numPr>
          <w:ilvl w:val="0"/>
          <w:numId w:val="37"/>
        </w:numPr>
        <w:ind w:left="0" w:firstLine="709"/>
      </w:pPr>
      <w:r>
        <w:t>Сато, Т. Кино Японии / Т. Сато .– Москва : Радуга, 1988. – 223 с.</w:t>
      </w:r>
    </w:p>
    <w:p w14:paraId="3A4A738E" w14:textId="77777777" w:rsidR="00617D0B" w:rsidRDefault="00617D0B" w:rsidP="00617D0B">
      <w:pPr>
        <w:pStyle w:val="8"/>
        <w:numPr>
          <w:ilvl w:val="0"/>
          <w:numId w:val="37"/>
        </w:numPr>
        <w:ind w:left="0" w:firstLine="709"/>
      </w:pPr>
      <w:r>
        <w:t>Что такое гунка? Японская военная музыка [Электронный ресурс]. – Режим доступа: https://www.nihongunka.com/general/gunka. – Дата доступа: 19.05.2024.</w:t>
      </w:r>
    </w:p>
    <w:p w14:paraId="29BB5861" w14:textId="77777777" w:rsidR="00617D0B" w:rsidRPr="00617D0B" w:rsidRDefault="00617D0B" w:rsidP="00E25B19">
      <w:pPr>
        <w:spacing w:after="0" w:line="240" w:lineRule="auto"/>
        <w:ind w:firstLine="709"/>
        <w:jc w:val="both"/>
        <w:rPr>
          <w:rFonts w:ascii="Times New Roman" w:hAnsi="Times New Roman" w:cs="Times New Roman"/>
          <w:sz w:val="28"/>
          <w:szCs w:val="28"/>
        </w:rPr>
      </w:pPr>
    </w:p>
    <w:p w14:paraId="68806051"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785968A3" w14:textId="77777777" w:rsidR="009031AC" w:rsidRDefault="009031AC" w:rsidP="00E25B19">
      <w:pPr>
        <w:spacing w:line="240" w:lineRule="auto"/>
        <w:ind w:firstLine="709"/>
        <w:contextualSpacing/>
        <w:rPr>
          <w:rFonts w:ascii="Times New Roman" w:hAnsi="Times New Roman" w:cs="Times New Roman"/>
          <w:sz w:val="28"/>
          <w:szCs w:val="28"/>
          <w:lang w:val="be-BY"/>
        </w:rPr>
      </w:pPr>
    </w:p>
    <w:p w14:paraId="7D0C6F09" w14:textId="77777777" w:rsidR="00617D0B" w:rsidRDefault="00617D0B" w:rsidP="00E25B19">
      <w:pPr>
        <w:spacing w:line="240" w:lineRule="auto"/>
        <w:ind w:firstLine="709"/>
        <w:contextualSpacing/>
        <w:rPr>
          <w:rFonts w:ascii="Times New Roman" w:hAnsi="Times New Roman" w:cs="Times New Roman"/>
          <w:sz w:val="28"/>
          <w:szCs w:val="28"/>
          <w:lang w:val="be-BY"/>
        </w:rPr>
      </w:pPr>
    </w:p>
    <w:p w14:paraId="4C094151" w14:textId="77777777" w:rsidR="002E4BD4" w:rsidRDefault="002E4BD4" w:rsidP="00E25B19">
      <w:pPr>
        <w:spacing w:line="240" w:lineRule="auto"/>
        <w:ind w:firstLine="709"/>
        <w:contextualSpacing/>
        <w:rPr>
          <w:rFonts w:ascii="Times New Roman" w:hAnsi="Times New Roman" w:cs="Times New Roman"/>
          <w:sz w:val="28"/>
          <w:szCs w:val="28"/>
          <w:lang w:val="be-BY"/>
        </w:rPr>
      </w:pPr>
    </w:p>
    <w:p w14:paraId="2518C6E9" w14:textId="77777777" w:rsidR="002F2A63" w:rsidRDefault="002F2A63" w:rsidP="002F2A63">
      <w:pPr>
        <w:pStyle w:val="12"/>
      </w:pPr>
      <w:r>
        <w:t xml:space="preserve">УДК 94(476) </w:t>
      </w:r>
    </w:p>
    <w:p w14:paraId="16450938" w14:textId="77777777" w:rsidR="002F2A63" w:rsidRDefault="002F2A63" w:rsidP="004D7A7C">
      <w:pPr>
        <w:pStyle w:val="14"/>
      </w:pPr>
      <w:bookmarkStart w:id="101" w:name="_Toc181894116"/>
      <w:r>
        <w:t>Р. М. ГАЛЕНКИН</w:t>
      </w:r>
      <w:bookmarkEnd w:id="101"/>
      <w:r>
        <w:t xml:space="preserve"> </w:t>
      </w:r>
    </w:p>
    <w:p w14:paraId="42938D05" w14:textId="59E9C56C" w:rsidR="002F2A63" w:rsidRDefault="004D7A7C" w:rsidP="004D7A7C">
      <w:pPr>
        <w:pStyle w:val="3"/>
      </w:pPr>
      <w:r>
        <w:t xml:space="preserve">Москва, </w:t>
      </w:r>
      <w:r w:rsidR="002F2A63">
        <w:t>РУДН имени Патриса Лумумбы</w:t>
      </w:r>
    </w:p>
    <w:p w14:paraId="3195D162" w14:textId="77777777" w:rsidR="002F2A63" w:rsidRDefault="002F2A63" w:rsidP="004D7A7C">
      <w:pPr>
        <w:pStyle w:val="4"/>
      </w:pPr>
      <w:r>
        <w:t>Научный руководитель: С. В. Обухов, кандидат исторических наук</w:t>
      </w:r>
    </w:p>
    <w:p w14:paraId="5B8E6AE6" w14:textId="77777777" w:rsidR="002F2A63" w:rsidRDefault="002F2A63" w:rsidP="004D7A7C">
      <w:pPr>
        <w:pStyle w:val="7"/>
      </w:pPr>
    </w:p>
    <w:p w14:paraId="01A7F2A5" w14:textId="77777777" w:rsidR="002F2A63" w:rsidRDefault="002F2A63" w:rsidP="004D7A7C">
      <w:pPr>
        <w:pStyle w:val="5"/>
      </w:pPr>
      <w:r>
        <w:t>МАО ЦЗЭДУН В ПЕРЕВОДАХ НА БЕЛОРУССКИЙ ЯЗЫК</w:t>
      </w:r>
    </w:p>
    <w:p w14:paraId="23144570" w14:textId="77777777" w:rsidR="002F2A63" w:rsidRDefault="002F2A63" w:rsidP="004D7A7C">
      <w:pPr>
        <w:pStyle w:val="7"/>
      </w:pPr>
    </w:p>
    <w:p w14:paraId="5BB89495" w14:textId="77777777" w:rsidR="002F2A63" w:rsidRPr="004D7A7C" w:rsidRDefault="002F2A63" w:rsidP="004D7A7C">
      <w:pPr>
        <w:pStyle w:val="6"/>
      </w:pPr>
      <w:r w:rsidRPr="004D7A7C">
        <w:t xml:space="preserve">В данной статье исследуется история переводов официальных выступлений, публицистических и художественных трудов теоретика марксизма-ленинизма, руководителя Китайской Народной Республики и Коммунистической партии Китая Мао Цзэдуна на белорусский язык. Особенное внимание при этом уделяется изучению социально-политических процессов в контексте их влияния на изменение интереса к литературному наследию Мао Цзэдуна в белорусском обществе. </w:t>
      </w:r>
    </w:p>
    <w:p w14:paraId="5328F4A1" w14:textId="77777777" w:rsidR="002F2A63" w:rsidRDefault="002F2A63" w:rsidP="004D7A7C">
      <w:pPr>
        <w:pStyle w:val="7"/>
      </w:pPr>
    </w:p>
    <w:p w14:paraId="653D9436" w14:textId="77777777" w:rsidR="002F2A63" w:rsidRDefault="002F2A63" w:rsidP="004D7A7C">
      <w:pPr>
        <w:pStyle w:val="7"/>
      </w:pPr>
      <w:r>
        <w:t xml:space="preserve">В начале XX века полуфеодальный Китай вступил в длинную серию буржуазно-демократических революций и гражданских войн. Многомилионные массы китайского народа стали участвовать в политической жизни страны, требовать от сменявших друг друга правительств и милитаристских клик проведения радикальной аграрной реформы, ликвидации полуколониального положения Китая относительно европейских держав. Под влиянием Октябрьской революции в Китае в 1921 </w:t>
      </w:r>
      <w:r>
        <w:lastRenderedPageBreak/>
        <w:t xml:space="preserve">году возникает и коммунистическое движение. Изначально будучи по своей сути исключительно интеллектуальным, оно постепенно приобретает массовый характер и становится значимой силой в китайской революции. </w:t>
      </w:r>
    </w:p>
    <w:p w14:paraId="066BBFA6" w14:textId="77777777" w:rsidR="002F2A63" w:rsidRDefault="002F2A63" w:rsidP="004D7A7C">
      <w:pPr>
        <w:pStyle w:val="7"/>
      </w:pPr>
      <w:r>
        <w:t xml:space="preserve">Вполне естественно, что такое развитие событий заставляет руководителей Советского Союза (прежде всего И. В. Сталина) и Коммунистического Интернационала обратить пристальное внимание на вопросы развития революции в Китае и на роль в данной революции Коммунистической партии. В конечном итоге, несмотря на возражения «левой» оппозиции, в международном коммунистическом движении утверждается тезис о том, что «национально-освободительное движение является частью мировой пролетарской революции» [1]. К середине 1920-ых годов события в Китае становятся одной из самых обсуждаемых тем в СССР, в том числе и в Белорусской ССР. Подобная тенденция сохраняется и в 1930-е годы. </w:t>
      </w:r>
    </w:p>
    <w:p w14:paraId="6EA40996" w14:textId="77777777" w:rsidR="002F2A63" w:rsidRDefault="002F2A63" w:rsidP="004D7A7C">
      <w:pPr>
        <w:pStyle w:val="7"/>
      </w:pPr>
      <w:r>
        <w:t xml:space="preserve">Параллельно, в ходе развития Гражданской войны между Коммунистической партией и Гоминьданом одним из руководителей КПК и Красной армией Китая становится Мао Цзэдун, влияние которого особенно сильно усиливается после успеха Великого похода китайских коммунистов на север в 1934–1936 годах. </w:t>
      </w:r>
    </w:p>
    <w:p w14:paraId="2610A7DF" w14:textId="77777777" w:rsidR="002F2A63" w:rsidRDefault="002F2A63" w:rsidP="004D7A7C">
      <w:pPr>
        <w:pStyle w:val="7"/>
      </w:pPr>
      <w:r>
        <w:t xml:space="preserve">Под влиянием этих событий в СССР на русском языке в 1936 году выходит книга А. М. Хамадана «Вожди и герои китайского народа», которая впервые знакомит советского читателя с краткой биографией Мао Цзэдуна. В том же году государственным издательством Беларуси тиражом 3185 экземпляров осуществляется перевод книги А. М. Хамадана на белорусский язык под названием. </w:t>
      </w:r>
      <w:r>
        <w:rPr>
          <w:lang w:val="be-BY"/>
        </w:rPr>
        <w:t>«Правадыры і героі кітайскага народа: Мао Цзэ-дун ― правадыр кітайскага народа, Фан Чжы-мін ― герой кітайскага народа».</w:t>
      </w:r>
      <w:r>
        <w:t xml:space="preserve"> Таким образом, можно сказать, что именно в 1936 году происходит первое подробное знакомство белорусского читателя с личностью Мао Цзэдуна. Однако из-за начала в 1937 году китайско-японской войны, а также из-за вступления СССР во Вторую мировую войну и начала Великой Отечественной войны это знакомство белорусских читателей с биографией и идеями Мао Цзэдуна не получило дальнейшего продолжения.  </w:t>
      </w:r>
    </w:p>
    <w:p w14:paraId="6804CA89" w14:textId="77777777" w:rsidR="002F2A63" w:rsidRDefault="002F2A63" w:rsidP="004D7A7C">
      <w:pPr>
        <w:pStyle w:val="7"/>
        <w:rPr>
          <w:lang w:val="be-BY"/>
        </w:rPr>
      </w:pPr>
      <w:r>
        <w:t xml:space="preserve">Печатные работы Мао Цзэдуна начали массово появляться в Советском Союзе уже только после окончательной победы Коммунистической партии Китая в Гражданской войне над Гоминьданом и провозглашения Китайской Народной Республики в октябре 1949 года. В подавляющем большинстве случаев это были переводы важнейших теоретических работ руководителя КПК с китайского языка на русский язык. Только лишь в 1959 году Государственное издательство БССР тиражом в 10000 экземпляров выпускает речь Мао Цзэдуна </w:t>
      </w:r>
      <w:r>
        <w:rPr>
          <w:lang w:val="be-BY"/>
        </w:rPr>
        <w:t xml:space="preserve">«Да патання аб правільным вырашэнні супярэчнасцей унутры народа: Прамова, якая </w:t>
      </w:r>
      <w:r>
        <w:rPr>
          <w:lang w:val="be-BY"/>
        </w:rPr>
        <w:lastRenderedPageBreak/>
        <w:t xml:space="preserve">сказана 27 лют. 1957 г. на 11-м расшыр. пасяджэнні Вярхоў. дзярж. нарады», посвященную взаимоотношениям между различными социально-экономическими классами в социалистическом обществе. </w:t>
      </w:r>
    </w:p>
    <w:p w14:paraId="1ADAD046" w14:textId="77777777" w:rsidR="002F2A63" w:rsidRDefault="002F2A63" w:rsidP="004D7A7C">
      <w:pPr>
        <w:pStyle w:val="7"/>
      </w:pPr>
      <w:r>
        <w:rPr>
          <w:lang w:val="be-BY"/>
        </w:rPr>
        <w:t xml:space="preserve">В этом же году также выходят и первые переводы стихотворений Мао Цзэдуна на белорусский язык за авторством поэта Максима Танка, посетившего за несколько лет до этого Китай </w:t>
      </w:r>
      <w:r>
        <w:t>«</w:t>
      </w:r>
      <w:r>
        <w:rPr>
          <w:lang w:val="be-BY"/>
        </w:rPr>
        <w:t>в составе советской делегации Всесоюзного общества культурных связей с зарубежными странами</w:t>
      </w:r>
      <w:r>
        <w:t xml:space="preserve">» [2]. Свои переводы стихов Мао Цзэдуна «Вялікі паход» и «Снег» Максим Танк опубликовал в журнале «Полымя» [3, с. 4] на правах главного редактора. Стоит отметить, что ранее в этом же журнале в 1951 году была опубликована статья В. Рудмана под названием </w:t>
      </w:r>
      <w:r>
        <w:rPr>
          <w:lang w:val="be-BY"/>
        </w:rPr>
        <w:t>«Паэзія міру і братэрства народаў»</w:t>
      </w:r>
      <w:r>
        <w:t xml:space="preserve">, в которой литературный критик на белорусском языке анализировал классическую форму стихов Мао Цзэдуна и положительно оценивал его творчество. </w:t>
      </w:r>
    </w:p>
    <w:p w14:paraId="5774D37D" w14:textId="77777777" w:rsidR="002F2A63" w:rsidRDefault="002F2A63" w:rsidP="004D7A7C">
      <w:pPr>
        <w:pStyle w:val="7"/>
      </w:pPr>
      <w:r>
        <w:t xml:space="preserve">Дальнейшее издание работ руководителя китайских коммунистов на белорусском языке было прервано Великой Полемикой между КПК и КПСС и последующим советско-китайским расколом. Суть конфликта, с точки зрения китайских коммунистов, заключалась в том, что руководство Советского Союза во главе с Н. С. Хрущевым после XX съезда КПСС взяло курс на уничтожение социализма и создание системы государственно-бюрократического капитализма нового типа, в рамках которой собственностью на средства производства владеет совокупный класс буржуазной бюрократии в лице руководителей государства и предприятий, заинтересованный лишь в увеличении собственных прибылей за эксплуатации рабочего класса и советских колоний (как в рамках Восточного Блока, так и в рамках непосредственно СССР). Естественно, что после выдвижения такого обвинения о каких-либо дружеских отношениях между двумя державами не могло идти и речи. </w:t>
      </w:r>
    </w:p>
    <w:p w14:paraId="37E235E2" w14:textId="77777777" w:rsidR="002F2A63" w:rsidRDefault="002F2A63" w:rsidP="004D7A7C">
      <w:pPr>
        <w:pStyle w:val="7"/>
      </w:pPr>
      <w:r>
        <w:t xml:space="preserve">Вновь Мао Цзэдун стал издаваться на белорусском языке уже в независимой Беларуси. В 2000-е в сети Интернет [4] белорусские переводчики Михаил Баярын и Дмитрий Серебряков публикуют собственные переводы стихотворений Мао Цзэдуна </w:t>
      </w:r>
      <w:r>
        <w:rPr>
          <w:lang w:val="be-BY"/>
        </w:rPr>
        <w:t xml:space="preserve">«Атака на Нанкін», «Вежа жоўтага жорава», «Гара Чынкан, «Дзень падвойнае дзявяткі», «Люпаншан», «Марш на Чыян», «Наступ на Фукіен», «Сьвята 1929-га новага году», «Хуіч'ан», «Чангша». В 2017 году уже упомянутый ранее журнал «Полымя» опубликовал [5] стихи Мао Цзэдуна «Чанша», «Вежа жоўтага бусла», «Цзінганшань», «Новы год», «Дабадзі», «Застава Лаушань», «Тры вершы па шаснаццаць слоў», «Куньлунь», «Великі паход», «Снег», «Шаноўнаму Лю Яцзы», «Бэйдайхэ», «Хуаньсіша» в переводе белорусского поэта Н. М. Метлицкого. </w:t>
      </w:r>
      <w:r>
        <w:t xml:space="preserve">Исходя из этого можно сказать, что художественное наследие руководителя Китайской революции </w:t>
      </w:r>
      <w:r>
        <w:lastRenderedPageBreak/>
        <w:t xml:space="preserve">белорусским писателями было проработано относительно хорошо. Некоторые стихотворения Мао Цзэдуна даже можно прочесть в нескольких вариантах. Однако важно отметить при этом, что интерес белорусских поэтов к стихам руководителя Компартии Китая был скорее литературно-эстетический, нежели общественно-политический. В стихах Мао Цзэдуна лишь косвенно отражаются его философские взгляды и идеи, послужившие после его смерти фундаментом для формирования маоисткой идеологии. </w:t>
      </w:r>
    </w:p>
    <w:p w14:paraId="7C39DFE9" w14:textId="77777777" w:rsidR="002F2A63" w:rsidRDefault="002F2A63" w:rsidP="004D7A7C">
      <w:pPr>
        <w:pStyle w:val="7"/>
      </w:pPr>
      <w:r>
        <w:t xml:space="preserve">Несмотря на то, что в современной Беларуси на протяжении различного времени существовало три относительно крупных марксистско-ленинско-маоистских организации: </w:t>
      </w:r>
      <w:r>
        <w:rPr>
          <w:lang w:val="be-BY"/>
        </w:rPr>
        <w:t>«Червоны жонд», «Чырвоны Клін»</w:t>
      </w:r>
      <w:r>
        <w:t xml:space="preserve"> (существует и по сегодняшний день) и </w:t>
      </w:r>
      <w:r>
        <w:rPr>
          <w:lang w:val="be-BY"/>
        </w:rPr>
        <w:t xml:space="preserve">«Новая Дэмакратыя», лишь активисты последней занимались созданием переводов политических произведений Мао Цзэдуна на белорусский язык. За несколько месяцев на ресурсах </w:t>
      </w:r>
      <w:r>
        <w:t xml:space="preserve">«Новой демократии» вышли тексты Мао Цзэдуна </w:t>
      </w:r>
      <w:r>
        <w:rPr>
          <w:lang w:val="be-BY"/>
        </w:rPr>
        <w:t xml:space="preserve">«Супраць буржуазнай ідэалогіі ўнутры партыі», «Да пытання аб метадах кіраўніцтва», «За правільны стыль у працы партыі», «Супраць лібералізму», а также отрывки из текста </w:t>
      </w:r>
      <w:r>
        <w:t>«</w:t>
      </w:r>
      <w:r>
        <w:rPr>
          <w:lang w:val="be-BY"/>
        </w:rPr>
        <w:t>Да патання аб правільным вырашэнні супярэчнасцей унутры народа</w:t>
      </w:r>
      <w:r>
        <w:t xml:space="preserve">» [6] в собственном переводе организации. В общей сложности на белорусском языке издано только пять произведений классика марксизма-ленинизма из более чем десятков томов его произведений. </w:t>
      </w:r>
    </w:p>
    <w:p w14:paraId="534FF26B" w14:textId="77777777" w:rsidR="002F2A63" w:rsidRDefault="002F2A63" w:rsidP="004D7A7C">
      <w:pPr>
        <w:pStyle w:val="7"/>
      </w:pPr>
      <w:r>
        <w:t xml:space="preserve">Во многом это объясняется тем, что довольно большое количество работ руководителя китайской компартии было опубликовано на русском языке, которым владеет большинство белорусского народа. Кроме того, необходимо сказать, что на сегодняшний день в Беларуси среди широких народных слоев из-за наследия позднесоветского режима имеется крайне расплывчатое и мифологизированное представление об идеях маоизма и Мао Цзэдуна.  Возможно, что переиздание государством пятитомного собрания сочинений Мао Цзэдуна в переводе на белорусский язык могло исправить данную ситуацию. Однако в любом случае можно быть уверены, что с повышением влияния маоистских идей в мире и с грядущими победами маоистских революций в Индии, Непале, Перу, Турции и на Филиппинах интерес к идеям Мао Цзэдуна будет только расти. Вероятно, что в изменившихся условиях начнется и активное издание текстов руководителя китайской компартии на белорусском языке. </w:t>
      </w:r>
    </w:p>
    <w:p w14:paraId="3D13C79E" w14:textId="0E1EA686" w:rsidR="002F2A63" w:rsidRDefault="002F2A63" w:rsidP="004D7A7C">
      <w:pPr>
        <w:pStyle w:val="7"/>
      </w:pPr>
    </w:p>
    <w:p w14:paraId="79E24C0F" w14:textId="77777777" w:rsidR="004D7A7C" w:rsidRDefault="004D7A7C" w:rsidP="004D7A7C">
      <w:pPr>
        <w:pStyle w:val="7"/>
      </w:pPr>
    </w:p>
    <w:p w14:paraId="3ADDBC95" w14:textId="01DA6E93" w:rsidR="002F2A63" w:rsidRPr="004D7A7C" w:rsidRDefault="002F2A63" w:rsidP="004D7A7C">
      <w:pPr>
        <w:pStyle w:val="8"/>
        <w:numPr>
          <w:ilvl w:val="0"/>
          <w:numId w:val="41"/>
        </w:numPr>
        <w:ind w:left="0" w:firstLine="709"/>
      </w:pPr>
      <w:r w:rsidRPr="004D7A7C">
        <w:t>Сталин, И. В. О перспективах революции в Китае: Речь в китайской комиссии ИККИ [Электронный ресурс]. – Режим доступа: https://c21ch.newcastle.edu.au/stalin/t9/t9_15.htm</w:t>
      </w:r>
      <w:r w:rsidRPr="004D7A7C">
        <w:rPr>
          <w:rStyle w:val="a9"/>
          <w:color w:val="auto"/>
          <w:u w:val="none"/>
        </w:rPr>
        <w:t>.</w:t>
      </w:r>
      <w:r w:rsidR="004D7A7C" w:rsidRPr="004D7A7C">
        <w:rPr>
          <w:rStyle w:val="a9"/>
          <w:color w:val="auto"/>
          <w:u w:val="none"/>
          <w:lang w:val="ru-RU"/>
        </w:rPr>
        <w:t xml:space="preserve"> </w:t>
      </w:r>
      <w:r w:rsidRPr="004D7A7C">
        <w:rPr>
          <w:rStyle w:val="a9"/>
          <w:color w:val="auto"/>
          <w:u w:val="none"/>
        </w:rPr>
        <w:t>– Дата доступа: 08.05.2024.</w:t>
      </w:r>
    </w:p>
    <w:p w14:paraId="67988535" w14:textId="77777777" w:rsidR="002F2A63" w:rsidRPr="004D7A7C" w:rsidRDefault="002F2A63" w:rsidP="004D7A7C">
      <w:pPr>
        <w:pStyle w:val="8"/>
      </w:pPr>
      <w:r w:rsidRPr="004D7A7C">
        <w:t xml:space="preserve">Шматкова, И. И. Роль поэзии Максима Танка в становлении белорусско-китайских культурных связей  [Электронный ресурс]. – Режим доступа: </w:t>
      </w:r>
      <w:r w:rsidRPr="004D7A7C">
        <w:lastRenderedPageBreak/>
        <w:t>https://libeldoc.bsuir.by/bitstream/123456789/46525/1/Shmatkova_Rol. pdf</w:t>
      </w:r>
      <w:r w:rsidRPr="004D7A7C">
        <w:rPr>
          <w:rStyle w:val="a9"/>
        </w:rPr>
        <w:t>.</w:t>
      </w:r>
      <w:r w:rsidRPr="004D7A7C">
        <w:t xml:space="preserve">  – Дата доступа: 01.05.2024.</w:t>
      </w:r>
    </w:p>
    <w:p w14:paraId="613B1D5D" w14:textId="77777777" w:rsidR="002F2A63" w:rsidRPr="004D7A7C" w:rsidRDefault="002F2A63" w:rsidP="004D7A7C">
      <w:pPr>
        <w:pStyle w:val="8"/>
      </w:pPr>
      <w:r w:rsidRPr="004D7A7C">
        <w:t>Цзэдун М. Вялікі паход / Цзэдун М.; пер. М. Танка // Полымя. – 1959. – № 10. – С. 4.</w:t>
      </w:r>
    </w:p>
    <w:p w14:paraId="33E27431" w14:textId="5276DCF5" w:rsidR="002F2A63" w:rsidRPr="004D7A7C" w:rsidRDefault="002F2A63" w:rsidP="004D7A7C">
      <w:pPr>
        <w:pStyle w:val="8"/>
      </w:pPr>
      <w:r w:rsidRPr="004D7A7C">
        <w:t>Мао Цзэдун. Вершы. Пер. Дзьмітрыя Серабракова і Міхася Баярына [Электронный ресурс]. – Режим доступа: https://knihi.com/storage/nihil/mao.htm#%D0%92%D0%95%D0%96%D0%90%20%D0%96%D0%9E%D0%8E%D0%A2%D0%90%D0%93%D0%90%20%D0%96%D0%9E%D0%A0%D0%90%D0%92%D0%90. –Дата доступа: 12.05.2024.</w:t>
      </w:r>
    </w:p>
    <w:p w14:paraId="11905BDD" w14:textId="7C0253FD" w:rsidR="002F2A63" w:rsidRPr="004D7A7C" w:rsidRDefault="002F2A63" w:rsidP="004D7A7C">
      <w:pPr>
        <w:pStyle w:val="8"/>
      </w:pPr>
      <w:r w:rsidRPr="004D7A7C">
        <w:t>Карлюкевіч, А. Мао Цзэдун – кітайскі паэт XX стагоддзя  [Электронный ресурс]. – Режим доступа:  https://zviazda.by/be/news/20231226/1703574628-mao-czedun-kitayski-paet-xx-stagoddzya. – Дата доступа: 10.05.2024.</w:t>
      </w:r>
    </w:p>
    <w:p w14:paraId="6A20DB83" w14:textId="0EAB2899" w:rsidR="002F2A63" w:rsidRPr="004D7A7C" w:rsidRDefault="002F2A63" w:rsidP="004D7A7C">
      <w:pPr>
        <w:pStyle w:val="8"/>
      </w:pPr>
      <w:r w:rsidRPr="004D7A7C">
        <w:t>Маа Цзэдун. Да пытання аб правільным вырашэнні супярэчнасцяў унутры народа [Электронный ресурс]. – Режим доступа: https://vk.com/@-215200314-da-pytannya-ab-pravlnym-vyrashenn-supyarechnascya-unutry-23</w:t>
      </w:r>
      <w:r w:rsidRPr="004D7A7C">
        <w:rPr>
          <w:color w:val="000000" w:themeColor="text1"/>
        </w:rPr>
        <w:t xml:space="preserve"> </w:t>
      </w:r>
      <w:r w:rsidRPr="004D7A7C">
        <w:t>– Дата доступа: 03.05.2024.</w:t>
      </w:r>
    </w:p>
    <w:p w14:paraId="21020D3F" w14:textId="77777777" w:rsidR="002F2A63" w:rsidRDefault="002F2A63" w:rsidP="00E25B19">
      <w:pPr>
        <w:spacing w:after="0" w:line="240" w:lineRule="auto"/>
        <w:ind w:firstLine="709"/>
        <w:rPr>
          <w:rFonts w:ascii="Times New Roman" w:hAnsi="Times New Roman" w:cs="Times New Roman"/>
          <w:sz w:val="28"/>
          <w:szCs w:val="28"/>
        </w:rPr>
      </w:pPr>
    </w:p>
    <w:p w14:paraId="33FF6988"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1CB84AC1" w14:textId="65188C27" w:rsidR="00D86850" w:rsidRDefault="00D86850" w:rsidP="00E25B19">
      <w:pPr>
        <w:spacing w:after="0" w:line="240" w:lineRule="auto"/>
        <w:jc w:val="both"/>
        <w:rPr>
          <w:rFonts w:ascii="Times New Roman" w:hAnsi="Times New Roman" w:cs="Times New Roman"/>
          <w:sz w:val="28"/>
          <w:szCs w:val="28"/>
        </w:rPr>
      </w:pPr>
    </w:p>
    <w:p w14:paraId="4F2E7D86" w14:textId="77777777" w:rsidR="00E20541" w:rsidRDefault="00E20541" w:rsidP="00E25B19">
      <w:pPr>
        <w:spacing w:after="0" w:line="240" w:lineRule="auto"/>
        <w:jc w:val="both"/>
        <w:rPr>
          <w:rFonts w:ascii="Times New Roman" w:hAnsi="Times New Roman" w:cs="Times New Roman"/>
          <w:sz w:val="28"/>
          <w:szCs w:val="28"/>
        </w:rPr>
      </w:pPr>
    </w:p>
    <w:p w14:paraId="1A1BAC3E" w14:textId="77777777" w:rsidR="002E4BD4" w:rsidRDefault="002E4BD4" w:rsidP="00E25B19">
      <w:pPr>
        <w:spacing w:after="0" w:line="240" w:lineRule="auto"/>
        <w:jc w:val="both"/>
        <w:rPr>
          <w:rFonts w:ascii="Times New Roman" w:hAnsi="Times New Roman" w:cs="Times New Roman"/>
          <w:sz w:val="28"/>
          <w:szCs w:val="28"/>
        </w:rPr>
      </w:pPr>
    </w:p>
    <w:p w14:paraId="0AB00553" w14:textId="77777777" w:rsidR="004D7A7C" w:rsidRDefault="004D7A7C" w:rsidP="004D7A7C">
      <w:pPr>
        <w:pStyle w:val="12"/>
      </w:pPr>
      <w:r>
        <w:t>УДК 94(4+7):791„1945/1970”</w:t>
      </w:r>
    </w:p>
    <w:p w14:paraId="3E30EC08" w14:textId="77777777" w:rsidR="004D7A7C" w:rsidRDefault="004D7A7C" w:rsidP="004D7A7C">
      <w:pPr>
        <w:pStyle w:val="14"/>
        <w:rPr>
          <w:bCs/>
          <w:iCs/>
        </w:rPr>
      </w:pPr>
      <w:bookmarkStart w:id="102" w:name="_Toc181894117"/>
      <w:r>
        <w:t>Э. А. Федоров</w:t>
      </w:r>
      <w:bookmarkEnd w:id="102"/>
      <w:r>
        <w:t xml:space="preserve"> </w:t>
      </w:r>
    </w:p>
    <w:p w14:paraId="1DC8EF76" w14:textId="254EDD32" w:rsidR="004D7A7C" w:rsidRDefault="004D7A7C" w:rsidP="004D7A7C">
      <w:pPr>
        <w:pStyle w:val="3"/>
        <w:rPr>
          <w:lang w:val="be-BY"/>
        </w:rPr>
      </w:pPr>
      <w:r>
        <w:rPr>
          <w:lang w:val="be-BY"/>
        </w:rPr>
        <w:t>Гродно, ГрГУ им. Янки Купалы</w:t>
      </w:r>
    </w:p>
    <w:p w14:paraId="40973F15" w14:textId="520A74AC" w:rsidR="004D7A7C" w:rsidRPr="004D7A7C" w:rsidRDefault="004D7A7C" w:rsidP="004D7A7C">
      <w:pPr>
        <w:pStyle w:val="4"/>
        <w:rPr>
          <w:lang w:val="ru-RU"/>
        </w:rPr>
      </w:pPr>
      <w:r w:rsidRPr="004D7A7C">
        <w:t>Научный руководитель: Е. И. Меле</w:t>
      </w:r>
      <w:r>
        <w:t>шко, кандидат исторических наук</w:t>
      </w:r>
    </w:p>
    <w:p w14:paraId="055BF1D5" w14:textId="77777777" w:rsidR="004D7A7C" w:rsidRDefault="004D7A7C" w:rsidP="004D7A7C">
      <w:pPr>
        <w:pStyle w:val="7"/>
        <w:rPr>
          <w:lang w:val="be-BY"/>
        </w:rPr>
      </w:pPr>
    </w:p>
    <w:p w14:paraId="33592CC1" w14:textId="77777777" w:rsidR="004D7A7C" w:rsidRDefault="004D7A7C" w:rsidP="004D7A7C">
      <w:pPr>
        <w:pStyle w:val="5"/>
        <w:rPr>
          <w:lang w:val="be-BY"/>
        </w:rPr>
      </w:pPr>
      <w:r>
        <w:rPr>
          <w:lang w:val="be-BY"/>
        </w:rPr>
        <w:t>КОММЕМОРАЦИЯ ВТОРОЙ МИРОВОЙ ВОЙНЫ</w:t>
      </w:r>
    </w:p>
    <w:p w14:paraId="7F16C0AD" w14:textId="77777777" w:rsidR="004D7A7C" w:rsidRDefault="004D7A7C" w:rsidP="004D7A7C">
      <w:pPr>
        <w:pStyle w:val="5"/>
        <w:rPr>
          <w:lang w:val="be-BY"/>
        </w:rPr>
      </w:pPr>
      <w:r>
        <w:rPr>
          <w:lang w:val="be-BY"/>
        </w:rPr>
        <w:t>В ПОСЛЕВОЕННОМ ЗАПАДНОЕВРОПЕЙСКОМ</w:t>
      </w:r>
    </w:p>
    <w:p w14:paraId="26EAA183" w14:textId="77777777" w:rsidR="004D7A7C" w:rsidRDefault="004D7A7C" w:rsidP="004D7A7C">
      <w:pPr>
        <w:pStyle w:val="5"/>
        <w:rPr>
          <w:lang w:val="be-BY"/>
        </w:rPr>
      </w:pPr>
      <w:r>
        <w:rPr>
          <w:lang w:val="be-BY"/>
        </w:rPr>
        <w:t>КИНОИСКУССТВЕ</w:t>
      </w:r>
    </w:p>
    <w:p w14:paraId="1242F164" w14:textId="77777777" w:rsidR="004D7A7C" w:rsidRDefault="004D7A7C" w:rsidP="004D7A7C">
      <w:pPr>
        <w:pStyle w:val="7"/>
        <w:rPr>
          <w:lang w:val="be-BY"/>
        </w:rPr>
      </w:pPr>
    </w:p>
    <w:p w14:paraId="2D3331CA" w14:textId="77777777" w:rsidR="004D7A7C" w:rsidRDefault="004D7A7C" w:rsidP="004D7A7C">
      <w:pPr>
        <w:pStyle w:val="6"/>
        <w:rPr>
          <w:rFonts w:eastAsiaTheme="minorHAnsi" w:cstheme="minorBidi"/>
          <w:kern w:val="2"/>
          <w:lang w:val="ru-RU"/>
          <w14:ligatures w14:val="standardContextual"/>
        </w:rPr>
      </w:pPr>
      <w:r>
        <w:t xml:space="preserve">Статья посвящена анализу мемориализации истории Второй мировой войны в киноискусстве ведущих западноевропейских государств – Великобритании, Франции и Федеративной Республики Германия. Автор выделил самостоятельные смысловые этапы данного процесса, а также определил национальные особенности производства фильмов с военной тематикой в странах Западной Европы. </w:t>
      </w:r>
    </w:p>
    <w:p w14:paraId="2009EF85" w14:textId="77777777" w:rsidR="004D7A7C" w:rsidRDefault="004D7A7C" w:rsidP="004D7A7C">
      <w:pPr>
        <w:spacing w:after="0"/>
        <w:ind w:firstLine="709"/>
        <w:jc w:val="both"/>
        <w:rPr>
          <w:sz w:val="28"/>
        </w:rPr>
      </w:pPr>
    </w:p>
    <w:p w14:paraId="383692B0" w14:textId="77777777" w:rsidR="004D7A7C" w:rsidRDefault="004D7A7C" w:rsidP="005D1195">
      <w:pPr>
        <w:pStyle w:val="7"/>
      </w:pPr>
      <w:r>
        <w:t xml:space="preserve">Кинематограф – изобретение человечества, оказавшее значительное влияние на становление мировоззрения в XX веке. Например, он может отражать настроения, взгляды и ценности эпохи, в которую создавалась картина. Таким образом, киноленты становятся визуальными маркерами современности, что позволяет последующим поколениям полнее представлять себе события прошлого. Кино способствует формированию более глубокого и всестороннего понимания исторического контекста и его последствий для современного общества. Также кинематограф может </w:t>
      </w:r>
      <w:r>
        <w:lastRenderedPageBreak/>
        <w:t>использоваться для навязывания ценностей государства-производителя другим странам.</w:t>
      </w:r>
    </w:p>
    <w:p w14:paraId="20A64DD2" w14:textId="77777777" w:rsidR="004D7A7C" w:rsidRDefault="004D7A7C" w:rsidP="005D1195">
      <w:pPr>
        <w:pStyle w:val="7"/>
      </w:pPr>
      <w:r>
        <w:t xml:space="preserve">Влияние Второй мировой войны на социально-экономическую сферу, политическую структуру и психологическое состояние мира было значительным. Ее окончание послужило стимулом для активизации кинематографической индустрии Европы. Кинопроизводители начали создавать фильмы, основанные на героических событиях с целью формирования патриотического сознания у молодого поколения. Этот процесс стал важным элементом культурного и социального восстановления. </w:t>
      </w:r>
    </w:p>
    <w:p w14:paraId="270429A3" w14:textId="77777777" w:rsidR="004D7A7C" w:rsidRDefault="004D7A7C" w:rsidP="005D1195">
      <w:pPr>
        <w:pStyle w:val="7"/>
      </w:pPr>
      <w:r>
        <w:t xml:space="preserve">Геополитическая обстановка после Второй мировой войны, в частности, формирование биполярной системы международных отношений, влияла на финансирование и производство кинолент. В послевоенном киноискусстве Западной Европы отчетливо видно прямое участие США в производстве и распространении фильмов. Этому способствовало их политическое и экономическое положение на мировой арене как страны-победителя, а также внедрение проектов помощи союзникам, таких как «плана Маршалла» и «Соглашение Блюма – Бирнса». </w:t>
      </w:r>
    </w:p>
    <w:p w14:paraId="65BE1C78" w14:textId="77777777" w:rsidR="004D7A7C" w:rsidRDefault="004D7A7C" w:rsidP="005D1195">
      <w:pPr>
        <w:pStyle w:val="7"/>
      </w:pPr>
      <w:r>
        <w:t xml:space="preserve">Однако, помимо положительного влияния на развитие западноевропейской киноиндустрии, политика США также оказала и негативные воздействия. В результате активного вмешательства США в культурную сферу Западной Европы произошла американизация европейского кино. Американские фильмы стали доминировать на большом экране, подавляя местную кинопродукцию. Это привело к снижению интереса к национальным традициям и потере своей идентичности [3]. </w:t>
      </w:r>
    </w:p>
    <w:p w14:paraId="495701A8" w14:textId="77777777" w:rsidR="004D7A7C" w:rsidRDefault="004D7A7C" w:rsidP="005D1195">
      <w:pPr>
        <w:pStyle w:val="7"/>
      </w:pPr>
      <w:r>
        <w:t>Зарождение звукового кино грозило ослабить позиции американского кинематографа на мировом рынке. Оно давало возможность другим странам создать собственную кинопромышленность, способную выпускать фильмы на родном языке. В эпоху бурного роста националистических настроений кино очень быстро сделалось важнейшим средством выражения общественного мнения. Несмотря на конкуренцию со стороны Голливуда, многие национальные кинематографии начали быстро вырабатывать свой индивидуальный стиль. Более всего в этом преуспел французский кинематограф [8, с. 80–81].</w:t>
      </w:r>
    </w:p>
    <w:p w14:paraId="29E7709C" w14:textId="77777777" w:rsidR="004D7A7C" w:rsidRDefault="004D7A7C" w:rsidP="005D1195">
      <w:pPr>
        <w:pStyle w:val="7"/>
      </w:pPr>
      <w:r>
        <w:t xml:space="preserve">Фильмы, созданные в Западной Европе, чаще акцентировали внимание на освобождении Европы от фашизма и героическом сопротивлении нацизму. Идея патриотизма как образа любви к своей Родине и Отечеству представляет собой мощный инструмент объединения граждан вокруг интересов страны, укрепления государственности, развития гражданского самосознания. Патриотические настроения в масштабе истории государства демонстрируют циклический характер развития: </w:t>
      </w:r>
      <w:r>
        <w:lastRenderedPageBreak/>
        <w:t>активность патриотических идей наблюдается в периоды переживания государством сложных этапов преодоления, а также выходов из затяжных кризисов, модернизации и реструктуризации социально-значимых институтов.</w:t>
      </w:r>
    </w:p>
    <w:p w14:paraId="2ED7DDB3" w14:textId="77777777" w:rsidR="004D7A7C" w:rsidRDefault="004D7A7C" w:rsidP="005D1195">
      <w:pPr>
        <w:pStyle w:val="7"/>
      </w:pPr>
      <w:r>
        <w:t xml:space="preserve">Этапы развития западноевропейского послевоенного кино о Второй мировой войне отражают изменение отношения к войне в обществе и эволюцию кинематографической техники и эстетики. Каждый из них вносит свой вклад в понимание и интерпретацию важнейшего исторического события XX века. В контексте периодизации западноевропейского кинематографа послевоенного времени, посвященного Второй мировой войне, можно выделить несколько ключевых этапов. Первый (вторая половина 1940-х годов) характеризуется созданием фильмов, непосредственно после окончания войны. Эти произведения часто были направлены на поддержку военных усилий и мобилизацию общества. Фильмы данного периода обычно имели националистическую и патриотическую окраску. </w:t>
      </w:r>
    </w:p>
    <w:p w14:paraId="2A60EB61" w14:textId="77777777" w:rsidR="004D7A7C" w:rsidRDefault="004D7A7C" w:rsidP="005D1195">
      <w:pPr>
        <w:pStyle w:val="7"/>
      </w:pPr>
      <w:r>
        <w:t>Второй этап (1950-е – 1960-е годы) связан с появлением более реалистичных и критических подходов к изображению войны. Фильмы этого периода часто ставили под сомнение распространенные мифы о войне, анализировали психологические последствия военных действий на военнослужащих и гражданское население, а также обращали внимание на события, которые оставались за пределами военной пропаганды. Этот этап отражает более глубокое и многогранное понимание войны и ее последствий.</w:t>
      </w:r>
    </w:p>
    <w:p w14:paraId="6332A96D" w14:textId="77777777" w:rsidR="004D7A7C" w:rsidRDefault="004D7A7C" w:rsidP="005D1195">
      <w:pPr>
        <w:pStyle w:val="7"/>
      </w:pPr>
      <w:r>
        <w:t>Первый этап положил конец характерной для 1930-х годов изоляции искусства от повседневной жизни рабочих и крестьян. В этот период художники, писатели, музыканты и кинематографисты были вынуждены работать в условиях бомбежек, тушить пожары, спасать людей, участвовать в боях. После окончания войны они принимали активное участие в восстановлении своих стран. Неудивительно, что в эти годы во всех формах искусства утверждался реализм. Этот период представляет собой важный момент в истории искусства, когда оно стало тесно связано с реальностью и отражало правдивую жизнь, что подчеркивает важность искусства как средства выражения социальных и культурных изменений в обществе.</w:t>
      </w:r>
    </w:p>
    <w:p w14:paraId="299A957D" w14:textId="77777777" w:rsidR="004D7A7C" w:rsidRDefault="004D7A7C" w:rsidP="005D1195">
      <w:pPr>
        <w:pStyle w:val="7"/>
      </w:pPr>
      <w:r>
        <w:t xml:space="preserve">В рамках данного исторического периода можно выделить следующие кинематографические произведения: британская кинолента «Рядовой Анжело» (режиссер Майкл Андерсон и Питер Устинов, 1949 год) [6] демонстрирует противостояние индивидуальной морали и идеологии агрессора. Фильм иллюстрирует наличие элементов гуманизма даже в структуре военной машины нацистского режима, подчеркивая готовность </w:t>
      </w:r>
      <w:r>
        <w:lastRenderedPageBreak/>
        <w:t xml:space="preserve">отдельных личностей оказывать помощь пострадавшим, несмотря на риск для собственной безопасности. </w:t>
      </w:r>
    </w:p>
    <w:p w14:paraId="2A659C8D" w14:textId="77777777" w:rsidR="004D7A7C" w:rsidRDefault="004D7A7C" w:rsidP="005D1195">
      <w:pPr>
        <w:pStyle w:val="7"/>
      </w:pPr>
      <w:r>
        <w:t>Французский фильм «Битва на рельсах» (режиссер Рене Клеман, 1946 год) [1] освещает активное сопротивление французских железнодорожников оккупационным нацистским войскам. Немецкий кинофильм «Германия, год нулевой» (режиссер Роберто Росселлини, 1947 год) [2] представляет собой глубокий анализ социально-экономического положения немецкой семьи, вынужденной проживать в условиях послевоенного разрушенного Берлина. Таким образом, представленные фильмы являются яркими примерами кинематографического искусства, отражающего сложные исторические процессы и социальные противоречия данного периода.</w:t>
      </w:r>
    </w:p>
    <w:p w14:paraId="17339349" w14:textId="77777777" w:rsidR="004D7A7C" w:rsidRDefault="004D7A7C" w:rsidP="005D1195">
      <w:pPr>
        <w:pStyle w:val="7"/>
      </w:pPr>
      <w:r>
        <w:t>Учитывая развития телевидения в 1950-е годы, которое стало одной из ключевых причин снижения посещаемости кинотеатров, можно отметить следующие тенденции. С 1955 года наблюдается массовое закрытие кинотеатров, которые последовательно трансформировались в танцевальные площадки, а затем в кегельбаны. Ни стереокино, ни широкоформатный экран во всех его проявлениях не смогли остановить этот процесс. Единственной стратегией, которая показала свою эффективность, стало бескомпромиссное обращение к актуальным темам современности. Однако даже документальное кино, ранее занимавшее лидирующие позиции в реалистическом направлении, испытывало периоды спада [7, с. 287].</w:t>
      </w:r>
    </w:p>
    <w:p w14:paraId="30A604A1" w14:textId="77777777" w:rsidR="004D7A7C" w:rsidRDefault="004D7A7C" w:rsidP="005D1195">
      <w:pPr>
        <w:pStyle w:val="7"/>
      </w:pPr>
      <w:r>
        <w:t>В контексте «кризисов» кинопроизводства во время второго этапа наблюдается постепенный переход от изображения конкретных событий Второй мировой войны к исследованию психологического состояния людей, участвовавших в войне, их взаимопомощи и послевоенных трудностей. Это свидетельствует о развитии кинематографа в направлении более глубокого исследования человеческого опыта и социальных взаимодействий.</w:t>
      </w:r>
    </w:p>
    <w:p w14:paraId="6C0C554D" w14:textId="77777777" w:rsidR="004D7A7C" w:rsidRDefault="004D7A7C" w:rsidP="005D1195">
      <w:pPr>
        <w:pStyle w:val="7"/>
      </w:pPr>
      <w:r>
        <w:t xml:space="preserve">Ярким примером этого является кинолента Великобритании «Лиловая равнина» (режиссер Роберт Пэрриш, 1954 год) [4], которая представляет собой глубокий психологический анализ состояния главного героя, который переживает потерю супруги в результате блицкрига в Лондоне. Он погружается в саморазрушительное поведение, стремясь найти смерть на поле боя. Это безрассудство вызывает тревогу у его командира, поскольку оно необоснованно увеличивает риск для его летного экипажа, а другие члены экипажа неохотно летают с Форрестером. В процессе реабилитации он встречает Анну, которая помогает ему восстановить эмоциональную стабильность. </w:t>
      </w:r>
    </w:p>
    <w:p w14:paraId="30314962" w14:textId="77777777" w:rsidR="004D7A7C" w:rsidRDefault="004D7A7C" w:rsidP="005D1195">
      <w:pPr>
        <w:pStyle w:val="7"/>
      </w:pPr>
      <w:r>
        <w:lastRenderedPageBreak/>
        <w:t>С другой стороны, германский фильм «Небо без звезд» (режиссер Хельмута Кютнера, 1955 год) [5] представляет собой немецкую интерпретацию классической истории «Ромео и Джульетта». Это первое кинематографическое произведение, которое рассказывает историю двух влюбленных, разделенных границами своих стран. Эти фильмы являются яркими примерами использования кинематографа как средства для исследования сложных психологических состояний и социальных взаимодействий в контексте войны и послевоенного периода.</w:t>
      </w:r>
    </w:p>
    <w:p w14:paraId="6DD90958" w14:textId="77777777" w:rsidR="004D7A7C" w:rsidRDefault="004D7A7C" w:rsidP="005D1195">
      <w:pPr>
        <w:pStyle w:val="7"/>
      </w:pPr>
      <w:r>
        <w:t>Кинорежиссеры стали обращаться к прошлому, стремясь осмыслить травматичный опыт войны. Их целью было не только увековечить память о жертвах и героях, но и способствовать примирению между бывшими противниками. В итоге в кинопроизводстве послевоенных фильмов о Второй мировой войне можно выделить несколько основных тем и тенденций: фильмы часто изображали солдат как мужественных и самоотверженных героев, боровшихся за свою родину. Это служило укреплению национального духа и формированию чувства гордости за французское сопротивление. Киноленты также исследовали «темную» сторону войны, изображая сотрудничество с нацистским режимом. Это помогло пролить свет на сложную моральную дилемму, с которой столкнулись многие французы во время оккупации. Фильмы не только воспевали героев, но и показывали ужасы войны. В конце 1950-х годов в киноискусстве стал преобладать тон примирения и прощения. Фильмы стремились выйти за рамки ненависти и мести, сосредоточившись на общих страданиях, пережитых всеми сторонами конфликта.</w:t>
      </w:r>
    </w:p>
    <w:p w14:paraId="3A485F84" w14:textId="77777777" w:rsidR="004D7A7C" w:rsidRDefault="004D7A7C" w:rsidP="005D1195">
      <w:pPr>
        <w:pStyle w:val="7"/>
      </w:pPr>
      <w:r>
        <w:t>Одним из основных выводов, которые можно сделать из проведенного исследования, является то, что коммеморация и память о Второй мировой войне играли важную роль в британском, французском и германском киноискусстве. Кинофильмы о войне не только документировали и сохраняли в народной памяти исторические события, но и сформировали удобный для национальной политики стран образ героев. Кинофильмы о Второй мировой войне часто создавали идеализированный образ героев, которые не щадя своей жизни боролись за свободу и правду. Однако, стоит подметить, что такой подход может привести к искажению исторической правды и созданию мифов о войне. Киноискусство должно служить не только развлечению, но и сохранению и передаче исторической памяти.</w:t>
      </w:r>
    </w:p>
    <w:p w14:paraId="0585302F" w14:textId="77777777" w:rsidR="004D7A7C" w:rsidRDefault="004D7A7C" w:rsidP="005D1195">
      <w:pPr>
        <w:pStyle w:val="7"/>
      </w:pPr>
    </w:p>
    <w:p w14:paraId="61963DC2" w14:textId="77777777" w:rsidR="004D7A7C" w:rsidRDefault="004D7A7C" w:rsidP="005D1195">
      <w:pPr>
        <w:pStyle w:val="8"/>
        <w:numPr>
          <w:ilvl w:val="0"/>
          <w:numId w:val="42"/>
        </w:numPr>
        <w:ind w:left="142" w:firstLine="567"/>
      </w:pPr>
      <w:r>
        <w:t>1. Битва на рельсах [Электронный ресурс] ; реж. Р. Клеман. – Франция : Coopеrative Gеnеrale du Cinеma Franсais, 1946. – Режим доступа: https://www.kinopoisk.ru/film/25604/. – Дата доступа: 22.04.2024.</w:t>
      </w:r>
    </w:p>
    <w:p w14:paraId="5BCC2EA4" w14:textId="77777777" w:rsidR="004D7A7C" w:rsidRDefault="004D7A7C" w:rsidP="005D1195">
      <w:pPr>
        <w:pStyle w:val="8"/>
        <w:ind w:left="142" w:firstLine="567"/>
      </w:pPr>
      <w:r>
        <w:t>2. Германия, год нулевой [Электронный ресурс] ; реж. Р. Росселлини. – Германия : Produzione Salvo D'Angelo, Tevere Film, 1947. – Режим доступа: https://www.kinopoisk.ru/film/57082/. – Дата доступа: 02.05.2024.</w:t>
      </w:r>
    </w:p>
    <w:p w14:paraId="43262A63" w14:textId="77777777" w:rsidR="004D7A7C" w:rsidRDefault="004D7A7C" w:rsidP="005D1195">
      <w:pPr>
        <w:pStyle w:val="8"/>
        <w:ind w:left="142" w:firstLine="567"/>
      </w:pPr>
      <w:r>
        <w:lastRenderedPageBreak/>
        <w:t>3. Лекен, Е. В. Вы тоже можете быть такими, как мы: образ американизированной Европы в фильмах плана Маршалла [Электронный ресурс] / Е. В. Лекен. – Режим доступа: https://cyberleninka.ru/article/n/vy-tozhe-mozhete-byt-takimi-kak-my-obraz-amerikanizirovannoy-evropy-v-filmah-plana-marshalla/viewer. – Дата доступа: 10.03.2024.</w:t>
      </w:r>
    </w:p>
    <w:p w14:paraId="2A34E584" w14:textId="77777777" w:rsidR="004D7A7C" w:rsidRDefault="004D7A7C" w:rsidP="005D1195">
      <w:pPr>
        <w:pStyle w:val="8"/>
        <w:ind w:left="142" w:firstLine="567"/>
      </w:pPr>
      <w:r>
        <w:t>4. Лиловая равнина [Электронный ресурс] ; реж. Р. Пэрриш. – Великобритания : Two Cities Films, 1954. – Режим доступа: https://www.kinopoisk.ru/film/11853/. – Дата доступа: 18.04.2024.</w:t>
      </w:r>
    </w:p>
    <w:p w14:paraId="4A55D2B8" w14:textId="77777777" w:rsidR="004D7A7C" w:rsidRDefault="004D7A7C" w:rsidP="005D1195">
      <w:pPr>
        <w:pStyle w:val="8"/>
        <w:ind w:left="142" w:firstLine="567"/>
      </w:pPr>
      <w:r>
        <w:t>5. Небо без звезд [Электронный ресурс] ; реж. Х. Кютнер. – Германия : Neue Deutsche Filmgesellschaft, 1955. – Режим доступа: https://www.kinopoisk.ru/film/220463/. – Дата доступа: 05.05.2024.</w:t>
      </w:r>
    </w:p>
    <w:p w14:paraId="5981A78C" w14:textId="77777777" w:rsidR="004D7A7C" w:rsidRDefault="004D7A7C" w:rsidP="005D1195">
      <w:pPr>
        <w:pStyle w:val="8"/>
        <w:ind w:left="142" w:firstLine="567"/>
      </w:pPr>
      <w:r>
        <w:t>6. Рядовой Анжело [Электронный ресурс] ; реж. М. Андерсон, П. Устинов. – Великобритания : Pilgrim Pictures, 1949. – Режим доступа: https://www.kinopoisk.ru/film/17593/. – Дата доступа: 14.04.2024.</w:t>
      </w:r>
    </w:p>
    <w:p w14:paraId="5E05835E" w14:textId="77777777" w:rsidR="004D7A7C" w:rsidRDefault="004D7A7C" w:rsidP="005D1195">
      <w:pPr>
        <w:pStyle w:val="8"/>
        <w:ind w:left="142" w:firstLine="567"/>
      </w:pPr>
      <w:r>
        <w:t>7. Садуль, Ж. Всеобщая история кино / Ж. Садуль. – М. : Искусство, 1958. – 522 с.</w:t>
      </w:r>
    </w:p>
    <w:p w14:paraId="148DA15D" w14:textId="77777777" w:rsidR="004D7A7C" w:rsidRDefault="004D7A7C" w:rsidP="005D1195">
      <w:pPr>
        <w:pStyle w:val="8"/>
        <w:ind w:left="142" w:firstLine="567"/>
      </w:pPr>
      <w:r>
        <w:t>8. Соколова, Н. П. История и теория кино : учеб.-метод. комплекс / Н. П. Соколова. – Тюмень : РИЦ ТГАКИ, 2007. – 240 с.</w:t>
      </w:r>
    </w:p>
    <w:p w14:paraId="626F1889" w14:textId="77777777" w:rsidR="00034BF1" w:rsidRDefault="00034BF1" w:rsidP="005D1195">
      <w:pPr>
        <w:pStyle w:val="12"/>
        <w:rPr>
          <w:lang w:bidi="ar"/>
        </w:rPr>
      </w:pPr>
    </w:p>
    <w:p w14:paraId="2228F580" w14:textId="234AF4F1" w:rsidR="00034BF1" w:rsidRDefault="002E4BD4" w:rsidP="002E4BD4">
      <w:pPr>
        <w:pStyle w:val="12"/>
        <w:jc w:val="center"/>
        <w:rPr>
          <w:lang w:bidi="ar"/>
        </w:rPr>
      </w:pPr>
      <w:r w:rsidRPr="002E4BD4">
        <w:rPr>
          <w:i/>
          <w:lang w:bidi="ar"/>
        </w:rPr>
        <w:t>К содержанию</w:t>
      </w:r>
    </w:p>
    <w:p w14:paraId="32AB7953" w14:textId="77777777" w:rsidR="002E4BD4" w:rsidRDefault="002E4BD4" w:rsidP="005D1195">
      <w:pPr>
        <w:pStyle w:val="12"/>
        <w:rPr>
          <w:lang w:bidi="ar"/>
        </w:rPr>
      </w:pPr>
    </w:p>
    <w:p w14:paraId="0DA39001" w14:textId="77777777" w:rsidR="002E4BD4" w:rsidRDefault="002E4BD4" w:rsidP="005D1195">
      <w:pPr>
        <w:pStyle w:val="12"/>
        <w:rPr>
          <w:lang w:bidi="ar"/>
        </w:rPr>
      </w:pPr>
    </w:p>
    <w:p w14:paraId="56D830A8" w14:textId="77777777" w:rsidR="002E4BD4" w:rsidRDefault="002E4BD4" w:rsidP="005D1195">
      <w:pPr>
        <w:pStyle w:val="12"/>
        <w:rPr>
          <w:lang w:bidi="ar"/>
        </w:rPr>
      </w:pPr>
    </w:p>
    <w:p w14:paraId="3475C3F7" w14:textId="5B0D23F3" w:rsidR="005D1195" w:rsidRPr="00B42121" w:rsidRDefault="005D1195" w:rsidP="005D1195">
      <w:pPr>
        <w:pStyle w:val="12"/>
      </w:pPr>
      <w:r w:rsidRPr="00B42121">
        <w:rPr>
          <w:lang w:bidi="ar"/>
        </w:rPr>
        <w:t xml:space="preserve">УДК </w:t>
      </w:r>
      <w:r>
        <w:rPr>
          <w:lang w:bidi="ar"/>
        </w:rPr>
        <w:t>323(470.661)</w:t>
      </w:r>
      <w:r>
        <w:rPr>
          <w:rFonts w:ascii="Verdana" w:hAnsi="Verdana"/>
          <w:lang w:bidi="ar"/>
        </w:rPr>
        <w:t>"</w:t>
      </w:r>
      <w:r>
        <w:rPr>
          <w:lang w:bidi="ar"/>
        </w:rPr>
        <w:t>1997/1999</w:t>
      </w:r>
      <w:r>
        <w:rPr>
          <w:rFonts w:ascii="Verdana" w:hAnsi="Verdana"/>
          <w:lang w:bidi="ar"/>
        </w:rPr>
        <w:t>"</w:t>
      </w:r>
    </w:p>
    <w:p w14:paraId="787F47EB" w14:textId="77777777" w:rsidR="005D1195" w:rsidRDefault="005D1195" w:rsidP="007D5824">
      <w:pPr>
        <w:pStyle w:val="14"/>
        <w:rPr>
          <w:lang w:bidi="ar"/>
        </w:rPr>
      </w:pPr>
      <w:bookmarkStart w:id="103" w:name="_Toc181894118"/>
      <w:r>
        <w:rPr>
          <w:lang w:bidi="ar"/>
        </w:rPr>
        <w:t>Р.С. Хутко</w:t>
      </w:r>
      <w:bookmarkEnd w:id="103"/>
      <w:r>
        <w:rPr>
          <w:lang w:bidi="ar"/>
        </w:rPr>
        <w:t xml:space="preserve"> </w:t>
      </w:r>
    </w:p>
    <w:p w14:paraId="24EB9733" w14:textId="65E03BF4" w:rsidR="005D1195" w:rsidRPr="00F37D43" w:rsidRDefault="005D1195" w:rsidP="007D5824">
      <w:pPr>
        <w:pStyle w:val="3"/>
      </w:pPr>
      <w:r>
        <w:rPr>
          <w:lang w:bidi="ar"/>
        </w:rPr>
        <w:t xml:space="preserve">Брест, </w:t>
      </w:r>
      <w:r w:rsidRPr="00F37D43">
        <w:rPr>
          <w:lang w:bidi="ar"/>
        </w:rPr>
        <w:t xml:space="preserve">БрГУ имени А.С. Пушкина </w:t>
      </w:r>
    </w:p>
    <w:p w14:paraId="7D144967" w14:textId="53A5063C" w:rsidR="005D1195" w:rsidRPr="00F37D43" w:rsidRDefault="005D1195" w:rsidP="007D5824">
      <w:pPr>
        <w:pStyle w:val="4"/>
      </w:pPr>
      <w:r w:rsidRPr="00F37D43">
        <w:rPr>
          <w:lang w:bidi="ar"/>
        </w:rPr>
        <w:t xml:space="preserve">Научный руководитель: </w:t>
      </w:r>
      <w:r>
        <w:rPr>
          <w:lang w:bidi="ar"/>
        </w:rPr>
        <w:t xml:space="preserve">Е.А. Бурик, </w:t>
      </w:r>
      <w:r w:rsidR="007D5824">
        <w:t>к.и.н.</w:t>
      </w:r>
      <w:r w:rsidRPr="00F37D43">
        <w:t>,</w:t>
      </w:r>
      <w:r>
        <w:t xml:space="preserve"> </w:t>
      </w:r>
      <w:r w:rsidRPr="00F37D43">
        <w:t>доцент</w:t>
      </w:r>
    </w:p>
    <w:p w14:paraId="0E50F85F" w14:textId="77777777" w:rsidR="005D1195" w:rsidRDefault="005D1195" w:rsidP="007D5824">
      <w:pPr>
        <w:pStyle w:val="7"/>
      </w:pPr>
    </w:p>
    <w:p w14:paraId="5355030B" w14:textId="77777777" w:rsidR="005D1195" w:rsidRPr="00F37D43" w:rsidRDefault="005D1195" w:rsidP="007D5824">
      <w:pPr>
        <w:pStyle w:val="5"/>
      </w:pPr>
      <w:r w:rsidRPr="00F37D43">
        <w:t>ПОЛИТИЧЕСКОЕ И СОЦИАЛЬНО-ЭКОНОМИЧЕСКОЕ ПОЛОЖЕНИЕ В ЧЕЧЕНСКОЙ РЕСПУБЛИКЕ В 1997–1999  ГГ.</w:t>
      </w:r>
    </w:p>
    <w:p w14:paraId="7F628F1D" w14:textId="77777777" w:rsidR="005D1195" w:rsidRDefault="005D1195" w:rsidP="007D5824">
      <w:pPr>
        <w:pStyle w:val="7"/>
      </w:pPr>
    </w:p>
    <w:p w14:paraId="03194EBD" w14:textId="77777777" w:rsidR="005D1195" w:rsidRPr="001C0D10" w:rsidRDefault="005D1195" w:rsidP="007D5824">
      <w:pPr>
        <w:pStyle w:val="6"/>
      </w:pPr>
      <w:r w:rsidRPr="001C0D10">
        <w:t xml:space="preserve">В статье рассматриваются основные проблемы политического и социально-экономического развития Чечни в 1997–1999 гг. Автор утверждает, что установившееся руководство республики не </w:t>
      </w:r>
      <w:r>
        <w:t>сумело предотвратить политического</w:t>
      </w:r>
      <w:r w:rsidRPr="001C0D10">
        <w:t xml:space="preserve"> раскол</w:t>
      </w:r>
      <w:r>
        <w:t>а</w:t>
      </w:r>
      <w:r w:rsidRPr="001C0D10">
        <w:t xml:space="preserve"> страны, где заметное влияние имел ваххабизм. Отмечается роль аграрного сектора и промышленности в восстановлении и развитии экономики, однако кри</w:t>
      </w:r>
      <w:r>
        <w:t>з</w:t>
      </w:r>
      <w:r w:rsidRPr="001C0D10">
        <w:t xml:space="preserve">исные явления в </w:t>
      </w:r>
      <w:r>
        <w:t>данных сферах</w:t>
      </w:r>
      <w:r w:rsidRPr="001C0D10">
        <w:t xml:space="preserve"> преодолеть не удалось. </w:t>
      </w:r>
      <w:r>
        <w:t>П</w:t>
      </w:r>
      <w:r w:rsidRPr="001C0D10">
        <w:t>одчеркивает</w:t>
      </w:r>
      <w:r>
        <w:t>ся</w:t>
      </w:r>
      <w:r w:rsidRPr="001C0D10">
        <w:t xml:space="preserve"> сложность перехода к мирной жизни после конфликта</w:t>
      </w:r>
      <w:r>
        <w:t xml:space="preserve">, а также </w:t>
      </w:r>
      <w:r w:rsidRPr="001C0D10">
        <w:t xml:space="preserve">присутствие военной силы практически </w:t>
      </w:r>
      <w:r>
        <w:t xml:space="preserve">во всех сферах </w:t>
      </w:r>
      <w:r w:rsidRPr="001C0D10">
        <w:t>жизнедеятельности чеченского общества</w:t>
      </w:r>
      <w:r>
        <w:t xml:space="preserve"> в межвоенный период</w:t>
      </w:r>
      <w:r w:rsidRPr="001C0D10">
        <w:t>.</w:t>
      </w:r>
    </w:p>
    <w:p w14:paraId="7CEE5E3B" w14:textId="77777777" w:rsidR="005D1195" w:rsidRDefault="005D1195" w:rsidP="007D5824">
      <w:pPr>
        <w:pStyle w:val="7"/>
      </w:pPr>
    </w:p>
    <w:p w14:paraId="5FA1F8C4" w14:textId="77777777" w:rsidR="005D1195" w:rsidRDefault="005D1195" w:rsidP="007D5824">
      <w:pPr>
        <w:pStyle w:val="7"/>
        <w:rPr>
          <w:rFonts w:eastAsia="Segoe UI"/>
        </w:rPr>
      </w:pPr>
      <w:r>
        <w:rPr>
          <w:rFonts w:eastAsia="Segoe UI"/>
        </w:rPr>
        <w:t xml:space="preserve">После событий Первой чеченской войны Чечня столкнулась с множеством проблем, связанных с экономической разрухой и необходимостью восстанавливать разрушенные села и города, налаживать общественный порядок в стране, восполнить людские ресурсы. Наиболее тяжелым и не восполняемым последствием любых военных действий </w:t>
      </w:r>
      <w:r>
        <w:rPr>
          <w:rFonts w:eastAsia="Segoe UI"/>
        </w:rPr>
        <w:lastRenderedPageBreak/>
        <w:t>являются, безусловно, человеческие жертвы. До сих пор окончательно не приведена цифра людских потерь в ходе Первой чеченской войны как из числа военных, так и из числа мирного населения. На протяжении трех лет после окончания войны в Чечне фактически не было создано гражданских институтов, распались трудовые коллективы, а возникшее большое количество партий и общественных организаций не имели в действительности никакого политического влияния. На место главных политических акторов вышли военно-политические и религиозно-политические объединения. В послевоенное время заново возродились внутричеченские коллизии, такие как</w:t>
      </w:r>
      <w:r w:rsidRPr="00F37D43">
        <w:rPr>
          <w:rFonts w:eastAsia="Segoe UI"/>
        </w:rPr>
        <w:t xml:space="preserve"> </w:t>
      </w:r>
      <w:r>
        <w:rPr>
          <w:rFonts w:eastAsia="Segoe UI"/>
        </w:rPr>
        <w:t>соперничество за власть, клановые противоречия, конфликты полевых командиров.</w:t>
      </w:r>
    </w:p>
    <w:p w14:paraId="63D1675E" w14:textId="256B8741" w:rsidR="005D1195" w:rsidRDefault="005D1195" w:rsidP="007D5824">
      <w:pPr>
        <w:pStyle w:val="7"/>
      </w:pPr>
      <w:r>
        <w:t>После завершения Первой чеченской войны в Чечне начался политический раскол. Некоторые полевые командиры продолжали настаивать на военных действиях и предпочитали распространить «освободительную революцию» на другие республики Северного Кавказа. Они верили, что Чечня сможет обрести полную независимость только после освобождения всего Северного Кавказа и</w:t>
      </w:r>
      <w:r w:rsidR="002E4BD4">
        <w:t xml:space="preserve"> получения доступа к двум морям </w:t>
      </w:r>
      <w:r>
        <w:t xml:space="preserve">– Каспийскому и Черному. </w:t>
      </w:r>
    </w:p>
    <w:p w14:paraId="73777E20" w14:textId="77777777" w:rsidR="005D1195" w:rsidRPr="009E6921" w:rsidRDefault="005D1195" w:rsidP="007D5824">
      <w:pPr>
        <w:pStyle w:val="7"/>
        <w:rPr>
          <w:rFonts w:eastAsia="Segoe UI"/>
        </w:rPr>
      </w:pPr>
      <w:r>
        <w:rPr>
          <w:rFonts w:eastAsia="Segoe UI"/>
        </w:rPr>
        <w:t>Тем не менее, главными в общественной жизни стали УДС – участники движения Сопротивления или ветераны русско-чеченской войны. После окончания войны была создана даже комиссия по делам УДС, на учёте которой стояло 1347 человек. Данные граждане были распределены на четыре категории</w:t>
      </w:r>
      <w:r w:rsidRPr="00F37D43">
        <w:rPr>
          <w:rFonts w:eastAsia="Segoe UI"/>
        </w:rPr>
        <w:t>:</w:t>
      </w:r>
      <w:r>
        <w:rPr>
          <w:rFonts w:eastAsia="Segoe UI"/>
        </w:rPr>
        <w:t xml:space="preserve"> близкие родственники погибших; участники митингов и их организаторы; активные участники военных действий; лица, материально и морально поддерживающие УДС </w:t>
      </w:r>
      <w:r w:rsidRPr="009E6921">
        <w:rPr>
          <w:rFonts w:eastAsia="Segoe UI"/>
        </w:rPr>
        <w:t>[</w:t>
      </w:r>
      <w:r>
        <w:rPr>
          <w:rFonts w:eastAsia="Segoe UI"/>
        </w:rPr>
        <w:t>5, с. 444–44</w:t>
      </w:r>
      <w:r w:rsidRPr="00051469">
        <w:rPr>
          <w:rFonts w:eastAsia="Segoe UI"/>
        </w:rPr>
        <w:t>5</w:t>
      </w:r>
      <w:r w:rsidRPr="009E6921">
        <w:rPr>
          <w:rFonts w:eastAsia="Segoe UI"/>
        </w:rPr>
        <w:t>]</w:t>
      </w:r>
      <w:r>
        <w:rPr>
          <w:rFonts w:eastAsia="Segoe UI"/>
        </w:rPr>
        <w:t>.</w:t>
      </w:r>
    </w:p>
    <w:p w14:paraId="4A2E90EE" w14:textId="77777777" w:rsidR="005D1195" w:rsidRPr="009E6921" w:rsidRDefault="005D1195" w:rsidP="007D5824">
      <w:pPr>
        <w:pStyle w:val="7"/>
      </w:pPr>
      <w:r w:rsidRPr="00F37D43">
        <w:rPr>
          <w:rFonts w:eastAsia="Segoe UI"/>
        </w:rPr>
        <w:t xml:space="preserve">После подписания Хасавюртовского соглашения власть в Чечне перешла к А.А. Масхадову, сунниту и участнику боев против оппозиции. Несмотря на </w:t>
      </w:r>
      <w:r>
        <w:rPr>
          <w:rFonts w:eastAsia="Segoe UI"/>
        </w:rPr>
        <w:t>это, стабильность</w:t>
      </w:r>
      <w:r w:rsidRPr="00F37D43">
        <w:rPr>
          <w:rFonts w:eastAsia="Segoe UI"/>
        </w:rPr>
        <w:t xml:space="preserve"> в республике </w:t>
      </w:r>
      <w:r>
        <w:rPr>
          <w:rFonts w:eastAsia="Segoe UI"/>
        </w:rPr>
        <w:t xml:space="preserve">не была </w:t>
      </w:r>
      <w:r w:rsidRPr="00F37D43">
        <w:rPr>
          <w:rFonts w:eastAsia="Segoe UI"/>
        </w:rPr>
        <w:t>достигнут</w:t>
      </w:r>
      <w:r>
        <w:rPr>
          <w:rFonts w:eastAsia="Segoe UI"/>
        </w:rPr>
        <w:t>а. А.А. </w:t>
      </w:r>
      <w:r w:rsidRPr="00F37D43">
        <w:rPr>
          <w:rFonts w:eastAsia="Segoe UI"/>
        </w:rPr>
        <w:t xml:space="preserve">Масхадов пытался установить порядок через шариат, что вызвало беспорядки в Гудермесе. Влияние ваххабизма, поддерживаемого иностранными боевиками, усиливалось, </w:t>
      </w:r>
      <w:r>
        <w:rPr>
          <w:rFonts w:eastAsia="Segoe UI"/>
        </w:rPr>
        <w:t xml:space="preserve">в стране </w:t>
      </w:r>
      <w:r w:rsidRPr="00F37D43">
        <w:rPr>
          <w:rFonts w:eastAsia="Segoe UI"/>
        </w:rPr>
        <w:t>продолжались преступления и насилие.</w:t>
      </w:r>
      <w:r>
        <w:rPr>
          <w:rFonts w:eastAsia="Segoe UI"/>
        </w:rPr>
        <w:t xml:space="preserve"> </w:t>
      </w:r>
    </w:p>
    <w:p w14:paraId="777AC550" w14:textId="77777777" w:rsidR="005D1195" w:rsidRPr="009E6921" w:rsidRDefault="005D1195" w:rsidP="007D5824">
      <w:pPr>
        <w:pStyle w:val="7"/>
      </w:pPr>
      <w:r w:rsidRPr="00F37D43">
        <w:rPr>
          <w:rFonts w:eastAsia="Segoe UI"/>
        </w:rPr>
        <w:t>К осени 1999 г</w:t>
      </w:r>
      <w:r>
        <w:rPr>
          <w:rFonts w:eastAsia="Segoe UI"/>
        </w:rPr>
        <w:t>.</w:t>
      </w:r>
      <w:r w:rsidRPr="00F37D43">
        <w:rPr>
          <w:rFonts w:eastAsia="Segoe UI"/>
        </w:rPr>
        <w:t xml:space="preserve">, когда началась контртеррористическая операция, Чечня оказалась политически неорганизованной. Государственные структуры под руководством </w:t>
      </w:r>
      <w:r>
        <w:rPr>
          <w:rFonts w:eastAsia="Segoe UI"/>
        </w:rPr>
        <w:t xml:space="preserve">А. </w:t>
      </w:r>
      <w:r w:rsidRPr="00F37D43">
        <w:rPr>
          <w:rFonts w:eastAsia="Segoe UI"/>
        </w:rPr>
        <w:t>Масхадова существовали параллельно с ваххабитскими джамаатами, которые имели собственную систему управления и получали поддержку от междуна</w:t>
      </w:r>
      <w:r>
        <w:rPr>
          <w:rFonts w:eastAsia="Segoe UI"/>
        </w:rPr>
        <w:t>родных исламистских группировок.</w:t>
      </w:r>
    </w:p>
    <w:p w14:paraId="3BF07983" w14:textId="77777777" w:rsidR="005D1195" w:rsidRPr="00F37D43" w:rsidRDefault="005D1195" w:rsidP="007D5824">
      <w:pPr>
        <w:pStyle w:val="7"/>
        <w:rPr>
          <w:rFonts w:eastAsia="Segoe UI"/>
        </w:rPr>
      </w:pPr>
      <w:r w:rsidRPr="00F37D43">
        <w:rPr>
          <w:rFonts w:eastAsia="Segoe UI"/>
        </w:rPr>
        <w:t xml:space="preserve">Драму всей страны Александр Лебедь выразил в следующих словах: «Нам в своё время удалось договориться о прекращении войны в Чечне путём тяжёлых переговоров и компромиссов ради того, чтобы прежде всего </w:t>
      </w:r>
      <w:r w:rsidRPr="00F37D43">
        <w:rPr>
          <w:rFonts w:eastAsia="Segoe UI"/>
        </w:rPr>
        <w:lastRenderedPageBreak/>
        <w:t>перестали погибать наши солдаты и мирные граждане. Но условия, на которых мы договорились прекратить войну, оказались невыполненными. Их нарушили прежде всего те силы в Чечне, для которых война и насилие стали доходным бизнесом и единственным смыслом жизни. Эти силы при внешней поддержке смогли развязать в августе 1999 г. новую авантюру уже на территории Дагестана. Опять бессмысленная вой</w:t>
      </w:r>
      <w:r>
        <w:rPr>
          <w:rFonts w:eastAsia="Segoe UI"/>
        </w:rPr>
        <w:t>на и опять бессмысленные жертвы</w:t>
      </w:r>
      <w:r w:rsidRPr="00F37D43">
        <w:rPr>
          <w:rFonts w:eastAsia="Segoe UI"/>
        </w:rPr>
        <w:t>»</w:t>
      </w:r>
      <w:r>
        <w:rPr>
          <w:rFonts w:eastAsia="Segoe UI"/>
        </w:rPr>
        <w:t xml:space="preserve"> </w:t>
      </w:r>
      <w:r w:rsidRPr="00F37D43">
        <w:rPr>
          <w:rFonts w:eastAsia="Segoe UI"/>
        </w:rPr>
        <w:t>[</w:t>
      </w:r>
      <w:r>
        <w:rPr>
          <w:rFonts w:eastAsia="Segoe UI"/>
        </w:rPr>
        <w:t>5, с. 430].</w:t>
      </w:r>
    </w:p>
    <w:p w14:paraId="13725C5A" w14:textId="77777777" w:rsidR="005D1195" w:rsidRPr="00F37D43" w:rsidRDefault="005D1195" w:rsidP="007D5824">
      <w:pPr>
        <w:pStyle w:val="7"/>
      </w:pPr>
      <w:r>
        <w:t xml:space="preserve">Проблемы, связанные с восстановлением экономики, также оказались не под силу установившемуся руководству Чечни. </w:t>
      </w:r>
      <w:r w:rsidRPr="00F37D43">
        <w:t xml:space="preserve">Многие эксперты утверждают, что возрождение торговли, в частности рыночной, является ключевым индикатором перехода общества от военного состояния к мирному. </w:t>
      </w:r>
      <w:r>
        <w:t xml:space="preserve">В </w:t>
      </w:r>
      <w:r w:rsidRPr="00F37D43">
        <w:t>Чечн</w:t>
      </w:r>
      <w:r>
        <w:t xml:space="preserve">е можно отметить свои </w:t>
      </w:r>
      <w:r w:rsidRPr="00F37D43">
        <w:t>некоторые особенности</w:t>
      </w:r>
      <w:r>
        <w:t xml:space="preserve"> данного процесса</w:t>
      </w:r>
      <w:r w:rsidRPr="00F37D43">
        <w:t>. В первую очередь, это сочетание военной силы и торговли. Без применения силы торговля была практически невозможна.</w:t>
      </w:r>
      <w:r>
        <w:t xml:space="preserve"> Главным торговым центром стал Центральный рынок Грозного. Однако торговали везде и всем, чем можно, в частных магазинах и кафе, на рынках, в крытых павильонах и т.д.</w:t>
      </w:r>
    </w:p>
    <w:p w14:paraId="254DA04B" w14:textId="77777777" w:rsidR="005D1195" w:rsidRDefault="005D1195" w:rsidP="007D5824">
      <w:pPr>
        <w:pStyle w:val="7"/>
      </w:pPr>
      <w:r>
        <w:t>Аграрная экономика в межвоенный период стала основой жизнеобеспечения чеченского общества, несмотря на то, что сельскохозяйственная отрасль сильно пострадала. Организация сельского хозяйства формировалась на основе разнообразных форм собственности и управления, к числу которых можно отнести личные подсобные хозяйства, мелкую фермерскую аренду, а также крупные государственные хозяйства, которые сохранились в некоторых равнинных районах. Произошло существенное сокращение животноводства: крупного рогатого скота и овец в Чечне сохранилась столько, сколько в прошлом было в одном только крупном хозяйстве. Индивидуальное хозяйство производили продукцию преимущественно для собственных нужд, делясь только с городскими родственниками.</w:t>
      </w:r>
    </w:p>
    <w:p w14:paraId="2E0B2E8B" w14:textId="77777777" w:rsidR="005D1195" w:rsidRDefault="005D1195" w:rsidP="007D5824">
      <w:pPr>
        <w:pStyle w:val="7"/>
      </w:pPr>
      <w:r>
        <w:t xml:space="preserve">В послевоенное время чеченская промышленность развивалась крайне медленно, в первую очередь необходимо было наладить выпуск товаров первой необходимости. Большие предприятия, которые уцелели в ходе войны, переключились на выпуск товаров повседневного спроса. Например, завод «Электроприбор», который ранее специализировался на производстве электрографических устройств, в послевоенное время занимался изготовлением форм для выпечки хлеба и производством пластиковых крышек для консервации. Завод «Красный молот», ранее производивший оборудование для нефтяной промышленности, стал выпускать отопительные котлы. Из 44 промышленных предприятий в 1999 г. работали только 17. Производство на промышленных предприятиях составляло 5–8% от довоенного уровня </w:t>
      </w:r>
      <w:r w:rsidRPr="00F37D43">
        <w:t>[</w:t>
      </w:r>
      <w:r>
        <w:t>5, с. 439</w:t>
      </w:r>
      <w:r w:rsidRPr="00F37D43">
        <w:t>]</w:t>
      </w:r>
      <w:r>
        <w:t>.</w:t>
      </w:r>
    </w:p>
    <w:p w14:paraId="7E056767" w14:textId="77777777" w:rsidR="005D1195" w:rsidRPr="00F37D43" w:rsidRDefault="005D1195" w:rsidP="007D5824">
      <w:pPr>
        <w:pStyle w:val="7"/>
      </w:pPr>
      <w:r>
        <w:lastRenderedPageBreak/>
        <w:t>Учитывая людские потери в ходе войны, а также эмиграцию населения из страны, в Чечне изменилась структура населения, а также система социальных отношений и уровень жизни населения. К началу осени 1999 г. в Чечне оставалось меньше половины населения примерно 500 – 600 тыс. человек.</w:t>
      </w:r>
      <w:r w:rsidRPr="00051469">
        <w:t xml:space="preserve"> </w:t>
      </w:r>
      <w:r>
        <w:t xml:space="preserve">В промышленном секторе в этот период работало всего около 15000 человек. Заработную плату и пенсии получали с задержками, либо они поступали из российского федерального бюджета </w:t>
      </w:r>
      <w:r w:rsidRPr="00F37D43">
        <w:t>[</w:t>
      </w:r>
      <w:r>
        <w:t>5, с. 4</w:t>
      </w:r>
      <w:r w:rsidRPr="00051469">
        <w:t>40</w:t>
      </w:r>
      <w:r w:rsidRPr="00F37D43">
        <w:t>]</w:t>
      </w:r>
      <w:r>
        <w:t>.</w:t>
      </w:r>
    </w:p>
    <w:p w14:paraId="305CE39D" w14:textId="77777777" w:rsidR="005D1195" w:rsidRPr="001C0D10" w:rsidRDefault="005D1195" w:rsidP="007D5824">
      <w:pPr>
        <w:pStyle w:val="7"/>
        <w:rPr>
          <w:spacing w:val="-2"/>
        </w:rPr>
      </w:pPr>
      <w:r w:rsidRPr="001C0D10">
        <w:rPr>
          <w:spacing w:val="-2"/>
        </w:rPr>
        <w:t>Необходимо отметить</w:t>
      </w:r>
      <w:r>
        <w:rPr>
          <w:spacing w:val="-2"/>
        </w:rPr>
        <w:t>,</w:t>
      </w:r>
      <w:r w:rsidRPr="001C0D10">
        <w:rPr>
          <w:spacing w:val="-2"/>
        </w:rPr>
        <w:t xml:space="preserve"> что одним из социальных потрясений послевоенного времени было введение в качестве наказания публичной смертной казни, которая производилась путём расстрела или иного вида умерщвления. Газета «Коммерсантъ» рассказывает об одном из таких событий: «Телевидение Грозного показало первую казнь чеченца по мусульманским законам. Чечня превратилась в исламскую страну. Там впервые официально привели в исполнение смертный приговор по законам шариата. В соответствии с мусульманским законодательством, ... преступнику вынесли смертный приговор и публично перерезали горло» [2]. Это вызвало негативную реакцию в российском политической и социальной сферах общества. Как было отмечено в статье «Борис Ельцин: этот шариат недопустим» в газете «Коммерсант»: «Законы шариата противоречат всем российским законам и Конституции. Мы думаем, как выполнить требования Совета Европы об отмене смертной казни, а они осуществляют ее таким вызывающим образом. Этот шариат недопустим» [1].</w:t>
      </w:r>
    </w:p>
    <w:p w14:paraId="7694C7FD" w14:textId="77777777" w:rsidR="005D1195" w:rsidRPr="00F37D43" w:rsidRDefault="005D1195" w:rsidP="007D5824">
      <w:pPr>
        <w:pStyle w:val="7"/>
      </w:pPr>
      <w:r>
        <w:t>В тоже время в Чечне стремительно вырос уровень преступности. Многие мужчины занимались разбоем и грабежом. Кроме этого, часто происходили похищения мирных жителей и иностранных граждан. Один из таких примеров можно найти в газете Известия</w:t>
      </w:r>
      <w:r w:rsidRPr="00F37D43">
        <w:t xml:space="preserve">: </w:t>
      </w:r>
      <w:r>
        <w:t xml:space="preserve">«Похитители пяти поляков, пропавших в Чечне 17 декабря прошлого года, наконец-то объявили о своих требованиях. За освобождение заложников террористы требуют три миллиона долларов» </w:t>
      </w:r>
      <w:r w:rsidRPr="00896CC2">
        <w:t>[</w:t>
      </w:r>
      <w:r>
        <w:t>3</w:t>
      </w:r>
      <w:r w:rsidRPr="00896CC2">
        <w:t>]</w:t>
      </w:r>
      <w:r>
        <w:t>. Увеличилось количество преступлений по отношению к русскому населению, со слов жительницы Грозного</w:t>
      </w:r>
      <w:r w:rsidRPr="00F37D43">
        <w:t>:</w:t>
      </w:r>
      <w:r>
        <w:t xml:space="preserve"> «Русские в Чечне тихо вымирают. Ежедневно только в Грозном убивают 4–5 русских. Мы уже привыкли к тому, что кого-то сожгли, залили горло кипятком, проткнули грудь вилами»</w:t>
      </w:r>
      <w:r w:rsidRPr="00F37D43">
        <w:t>[</w:t>
      </w:r>
      <w:r>
        <w:t>4</w:t>
      </w:r>
      <w:r w:rsidRPr="00F37D43">
        <w:t>]</w:t>
      </w:r>
      <w:r>
        <w:t>.</w:t>
      </w:r>
    </w:p>
    <w:p w14:paraId="44C91977" w14:textId="77777777" w:rsidR="005D1195" w:rsidRPr="00D82422" w:rsidRDefault="005D1195" w:rsidP="007D5824">
      <w:pPr>
        <w:pStyle w:val="7"/>
      </w:pPr>
      <w:r>
        <w:t xml:space="preserve">Безусловно, на фоне таких происходивших событий резко снизился жизненный уровень населения. Отсутствие доходов привело не только к обнищанию, но и к элементарному недоеданию и физическому истощению. Резко ухудшилось состояние здоровья всех категорий населения. В республике не хватало медицинского персонала, оборудования и лекарств. Все это сопровождалось вспышками и различных эпидемий. Из-за коллапса транспортной системы были нарушено сообщение и связи населения как внутри республики, и так и с другими регионами страны </w:t>
      </w:r>
      <w:r w:rsidRPr="00D82422">
        <w:t>[</w:t>
      </w:r>
      <w:r>
        <w:t>5, с.</w:t>
      </w:r>
      <w:r w:rsidRPr="00051469">
        <w:t xml:space="preserve"> </w:t>
      </w:r>
      <w:r>
        <w:t>441</w:t>
      </w:r>
      <w:r w:rsidRPr="00D82422">
        <w:t>]</w:t>
      </w:r>
      <w:r>
        <w:t>.</w:t>
      </w:r>
    </w:p>
    <w:p w14:paraId="71E2BB13" w14:textId="77777777" w:rsidR="005D1195" w:rsidRDefault="005D1195" w:rsidP="007D5824">
      <w:pPr>
        <w:pStyle w:val="7"/>
      </w:pPr>
      <w:r>
        <w:lastRenderedPageBreak/>
        <w:t>Таким образом, политическое и социально-экономическое положение в Чечне в межвоенный период характеризовалось нестабильностью, социальными потрясениями и экономическим кризисом, который не удалось преодолеть. Для практически всех сфер жизнедеятельности чеченского общества было свойственно присутствие военной силы. Наиболее ярко это проявилось в восстановлении торговли в Чечне после конфликта, что подчеркивало сложность перехода к мирной экономике. Аграрный сектор, несмотря на ущерб, стал основой для выживания, демонстрируя важность местного сельского хозяйства в постконфликтный период. Промышленные предприятия адаптировались к новым условиям, сменив фокус на производство товаров повседневного спроса, что указывало на гибкость и реакцию на изменения рынка. Социальные изменения, включая сокращение населения и ухудшение уровня жизни, отражали глубокие и долгосрочные последствия конфликта. Коллапс инфраструктуры, включая здравоохранение и транспорт, привёл к серьёзным проблемам в обеспечении основных потребностей и связи между регионами.</w:t>
      </w:r>
    </w:p>
    <w:p w14:paraId="222FC7BB" w14:textId="77777777" w:rsidR="005D1195" w:rsidRDefault="005D1195" w:rsidP="007D5824">
      <w:pPr>
        <w:pStyle w:val="7"/>
      </w:pPr>
    </w:p>
    <w:p w14:paraId="1E0E2648" w14:textId="77777777" w:rsidR="005D1195" w:rsidRPr="007D5824" w:rsidRDefault="005D1195" w:rsidP="007D5824">
      <w:pPr>
        <w:pStyle w:val="8"/>
        <w:numPr>
          <w:ilvl w:val="0"/>
          <w:numId w:val="44"/>
        </w:numPr>
        <w:ind w:left="0" w:firstLine="709"/>
      </w:pPr>
      <w:r w:rsidRPr="007D5824">
        <w:t xml:space="preserve">Жуков, М. Казнь в Чечне. Борис Ельцин: этот шариат недопустим [Электронный ресурс] / М. Жуков // Коммерсантъ. – 1997. – 5 сентября. –  Режим доступа : </w:t>
      </w:r>
      <w:hyperlink r:id="rId12" w:history="1">
        <w:r w:rsidRPr="007D5824">
          <w:rPr>
            <w:rStyle w:val="a9"/>
            <w:color w:val="auto"/>
            <w:u w:val="none"/>
          </w:rPr>
          <w:t>https://www.kommersant.ru/doc/183607</w:t>
        </w:r>
      </w:hyperlink>
      <w:r w:rsidRPr="007D5824">
        <w:t>. – Дата доступа : 05.04.2024.</w:t>
      </w:r>
    </w:p>
    <w:p w14:paraId="1FDF475D" w14:textId="77777777" w:rsidR="005D1195" w:rsidRPr="007D5824" w:rsidRDefault="005D1195" w:rsidP="007D5824">
      <w:pPr>
        <w:pStyle w:val="8"/>
      </w:pPr>
      <w:r w:rsidRPr="007D5824">
        <w:t xml:space="preserve">Иванидзе, В. Шариат суров, но это закон. О публичной смертной казни у чеченцев [Электронный ресурс] / В. Иванидзе // Коммерсантъ. – 1997. – 25 апреля. –  Режим доступа : </w:t>
      </w:r>
      <w:hyperlink r:id="rId13" w:history="1">
        <w:r w:rsidRPr="007D5824">
          <w:rPr>
            <w:rStyle w:val="a9"/>
            <w:color w:val="auto"/>
            <w:u w:val="none"/>
          </w:rPr>
          <w:t>https://www.kommersant.ru/doc/176818</w:t>
        </w:r>
      </w:hyperlink>
      <w:r w:rsidRPr="007D5824">
        <w:t>. – Дата доступа : 05.04.2024.</w:t>
      </w:r>
    </w:p>
    <w:p w14:paraId="53C17EE5" w14:textId="77777777" w:rsidR="005D1195" w:rsidRPr="007D5824" w:rsidRDefault="005D1195" w:rsidP="007D5824">
      <w:pPr>
        <w:pStyle w:val="8"/>
      </w:pPr>
      <w:r w:rsidRPr="007D5824">
        <w:t xml:space="preserve">Похищенных в Чечне поляков оценили в три миллиона долларов [Электронный ресурс] // Известия. – 1998. – № 4. – Режим доступа : </w:t>
      </w:r>
      <w:hyperlink r:id="rId14" w:history="1">
        <w:r w:rsidRPr="007D5824">
          <w:rPr>
            <w:rStyle w:val="a9"/>
            <w:color w:val="auto"/>
            <w:u w:val="none"/>
          </w:rPr>
          <w:t>https://ondemand.eastview.com/browse/doc/3161662/%D0%BF%D0%BE%D1%85%D0%B8%D1%89%D0%B5%D0%BD%D0%BD%D1%8B%D1%85%D0%B2%D1%87%D0%B5%D1%87%D0%BD%D0%B5%D0%BF%D0%BE%D0%BB%D1%8F%D0%BA%D0%BE%D0%B2%D0%BE%D1%86%D0%B5%D0%BD%D0%B8%D0%BB%D0%B8%D0%B2%D1%82%D1%80%D0%B8%D0%BC%D0%B8%D0%BB%D0%BB%D0%B8%D0%BE%D0%BD%D0%B0%D0%B4%D0%BE%D0%BB%D0%BB%D0%B0%D1%80%D0%BE%D0%B2?searchFor=%D0%BF%D0%BE%D1%85%D0%B8%D1%89%D0%B5%D0%BD%D0%B8%D1%8F%20%D0%B2%20%D0%A7%D0%B5%D1%87%D0%BD%D0%B5</w:t>
        </w:r>
      </w:hyperlink>
      <w:r w:rsidRPr="007D5824">
        <w:t>. – Дата доступа : 03.05.2024.</w:t>
      </w:r>
    </w:p>
    <w:p w14:paraId="412DF54D" w14:textId="77777777" w:rsidR="005D1195" w:rsidRPr="007D5824" w:rsidRDefault="005D1195" w:rsidP="007D5824">
      <w:pPr>
        <w:pStyle w:val="8"/>
      </w:pPr>
      <w:r w:rsidRPr="007D5824">
        <w:t xml:space="preserve">Савельев, А. Чёрная книга Чеченской войны : аналитический доклад [Электронный ресурс] / А. Савельев. – Режим доступа : </w:t>
      </w:r>
      <w:hyperlink r:id="rId15" w:history="1">
        <w:r w:rsidRPr="007D5824">
          <w:rPr>
            <w:rStyle w:val="a9"/>
            <w:color w:val="auto"/>
            <w:u w:val="none"/>
          </w:rPr>
          <w:t>https://web.archive.org/web/20130720082921/http://www.savelev.ru/book/?ch=159</w:t>
        </w:r>
      </w:hyperlink>
      <w:r w:rsidRPr="007D5824">
        <w:t xml:space="preserve">. – Дата доступа : 20.05.2024. </w:t>
      </w:r>
    </w:p>
    <w:p w14:paraId="1B286A36" w14:textId="77777777" w:rsidR="005D1195" w:rsidRDefault="005D1195" w:rsidP="007D5824">
      <w:pPr>
        <w:pStyle w:val="8"/>
      </w:pPr>
      <w:r w:rsidRPr="007D5824">
        <w:t>Тишков, В. Общество в вооруженном конфликте. Этнография Чеченской войны / В. Тишков ; Рос. акад. наук, Ин-т этнологии и антропологии им. Н. Н. Миклухо-Маклая. – Москва : Наука, 2021.  – 551 с.</w:t>
      </w:r>
    </w:p>
    <w:p w14:paraId="293086CE" w14:textId="77777777" w:rsidR="002E4BD4" w:rsidRPr="007D5824" w:rsidRDefault="002E4BD4" w:rsidP="002E4BD4">
      <w:pPr>
        <w:pStyle w:val="8"/>
        <w:numPr>
          <w:ilvl w:val="0"/>
          <w:numId w:val="0"/>
        </w:numPr>
        <w:ind w:left="709"/>
      </w:pPr>
    </w:p>
    <w:p w14:paraId="61858117" w14:textId="77777777" w:rsidR="007D5824" w:rsidRPr="00EF68E3" w:rsidRDefault="000C69B3" w:rsidP="007D5824">
      <w:pPr>
        <w:pStyle w:val="Standard"/>
        <w:jc w:val="center"/>
        <w:rPr>
          <w:rFonts w:ascii="Times New Roman" w:hAnsi="Times New Roman" w:cs="Times New Roman"/>
          <w:i/>
          <w:sz w:val="28"/>
          <w:szCs w:val="28"/>
          <w:lang w:val="be-BY"/>
        </w:rPr>
      </w:pPr>
      <w:hyperlink w:anchor="_СОДЕРЖАНИЕ" w:history="1">
        <w:r w:rsidR="007D5824" w:rsidRPr="00EF68E3">
          <w:rPr>
            <w:rStyle w:val="a9"/>
            <w:rFonts w:ascii="Times New Roman" w:hAnsi="Times New Roman" w:cs="Times New Roman"/>
            <w:i/>
            <w:color w:val="auto"/>
            <w:sz w:val="28"/>
            <w:szCs w:val="28"/>
            <w:u w:val="none"/>
            <w:lang w:val="be-BY"/>
          </w:rPr>
          <w:t>К содержанию</w:t>
        </w:r>
      </w:hyperlink>
    </w:p>
    <w:p w14:paraId="59B64225" w14:textId="77777777" w:rsidR="007D5824" w:rsidRDefault="007D5824" w:rsidP="007D5824">
      <w:pPr>
        <w:spacing w:after="0" w:line="240" w:lineRule="auto"/>
        <w:jc w:val="both"/>
        <w:rPr>
          <w:rFonts w:ascii="Times New Roman" w:hAnsi="Times New Roman" w:cs="Times New Roman"/>
          <w:sz w:val="28"/>
          <w:szCs w:val="28"/>
        </w:rPr>
      </w:pPr>
    </w:p>
    <w:p w14:paraId="23722F85" w14:textId="77777777" w:rsidR="007D5824" w:rsidRPr="007D5824" w:rsidRDefault="007D5824" w:rsidP="007D5824">
      <w:pPr>
        <w:pStyle w:val="12"/>
      </w:pPr>
      <w:r w:rsidRPr="007D5824">
        <w:lastRenderedPageBreak/>
        <w:t>УДК 15.81.43</w:t>
      </w:r>
    </w:p>
    <w:p w14:paraId="0105ED5A" w14:textId="77777777" w:rsidR="007D5824" w:rsidRDefault="007D5824" w:rsidP="007D5824">
      <w:pPr>
        <w:pStyle w:val="14"/>
      </w:pPr>
      <w:bookmarkStart w:id="104" w:name="_Toc181894119"/>
      <w:r>
        <w:t>С. А. Шакунова</w:t>
      </w:r>
      <w:bookmarkEnd w:id="104"/>
      <w:r>
        <w:t xml:space="preserve"> </w:t>
      </w:r>
    </w:p>
    <w:p w14:paraId="6E95C07A" w14:textId="7CF9FED3" w:rsidR="007D5824" w:rsidRDefault="007D5824" w:rsidP="007D5824">
      <w:pPr>
        <w:pStyle w:val="3"/>
      </w:pPr>
      <w:r>
        <w:t>Брест, БрГУ имени А.С. Пушкина</w:t>
      </w:r>
    </w:p>
    <w:p w14:paraId="02060D3F" w14:textId="37F7EA44" w:rsidR="007D5824" w:rsidRDefault="007D5824" w:rsidP="007D5824">
      <w:pPr>
        <w:pStyle w:val="4"/>
      </w:pPr>
      <w:r>
        <w:t xml:space="preserve">Научный руководитель: А.Ю. Бодак, к.и.н., доцент </w:t>
      </w:r>
    </w:p>
    <w:p w14:paraId="3D36E65B" w14:textId="77777777" w:rsidR="007D5824" w:rsidRDefault="007D5824" w:rsidP="007D5824">
      <w:pPr>
        <w:pStyle w:val="7"/>
      </w:pPr>
    </w:p>
    <w:p w14:paraId="7E2FFAF0" w14:textId="77777777" w:rsidR="007D5824" w:rsidRDefault="007D5824" w:rsidP="007D5824">
      <w:pPr>
        <w:pStyle w:val="5"/>
        <w:rPr>
          <w:bCs/>
        </w:rPr>
      </w:pPr>
      <w:r>
        <w:rPr>
          <w:bCs/>
        </w:rPr>
        <w:t>ПСИХОЛОГИЯ ЧЕЛОВЕКА НА ВОЙНЕ: ОПЫТ ИССЛЕДОВАНИЯ ПСИХОТИПОВ И ПОВЕДЕНЧЕСКОГО АСПЕКТА ВОЕННОСЛУЖАЩИХ</w:t>
      </w:r>
    </w:p>
    <w:p w14:paraId="11BABDC7" w14:textId="77777777" w:rsidR="007D5824" w:rsidRDefault="007D5824" w:rsidP="007D5824">
      <w:pPr>
        <w:pStyle w:val="7"/>
      </w:pPr>
    </w:p>
    <w:p w14:paraId="440F470C" w14:textId="77777777" w:rsidR="007D5824" w:rsidRDefault="007D5824" w:rsidP="007D5824">
      <w:pPr>
        <w:pStyle w:val="6"/>
      </w:pPr>
      <w:r>
        <w:t>В статье рассматриваются особенности психологии человека на войне. Актуальность данной темы подтверждается специфичностью состояния психики в состоянии войны. Так же приводится опыт исследования психотипов военного контингента и сделана попытка изучения и анализа поведенческого аспекта военнослужащих.</w:t>
      </w:r>
    </w:p>
    <w:p w14:paraId="19256357" w14:textId="77777777" w:rsidR="007D5824" w:rsidRPr="007D5824" w:rsidRDefault="007D5824" w:rsidP="007D5824">
      <w:pPr>
        <w:pStyle w:val="7"/>
      </w:pPr>
    </w:p>
    <w:p w14:paraId="4A60BB20" w14:textId="77777777" w:rsidR="007D5824" w:rsidRPr="007D5824" w:rsidRDefault="007D5824" w:rsidP="007D5824">
      <w:pPr>
        <w:pStyle w:val="7"/>
      </w:pPr>
      <w:r w:rsidRPr="007D5824">
        <w:t>Война – это организованное вооружённое насилие, целью которого является достижение политических стратегий. Война – реалистичная и трагичная драма, разыгрывающаяся в душе каждого человека. Стоит отметить, что о реальных масштабах последствий войны можно иметь лишь приблизительное представление. Единственное, что можно утверждать совершенно определенно – это то, что ни одно из известных природных бедствий и техногенных катастроф несравнимо с войной по степени экстремальности и по своим психологическим последствиям.</w:t>
      </w:r>
    </w:p>
    <w:p w14:paraId="7BF78F24" w14:textId="77777777" w:rsidR="007D5824" w:rsidRPr="007D5824" w:rsidRDefault="007D5824" w:rsidP="007D5824">
      <w:pPr>
        <w:pStyle w:val="7"/>
      </w:pPr>
      <w:r w:rsidRPr="007D5824">
        <w:t>Талантливые полководцы всегда понимали: главное на войне – человек.  Начиная еще с времен Петра l, в военное образование закладывали основы изучения «душевных явлений с военной точки зрения». Военная психология середины XIX века приобрела характер целостной системы и выделилась в самостоятельную отрасль. Своего расцвета она достигла в период после русско-японской и Первой мировой войн, органично сочетая теоретические изыскания и возможности применения их на практике. Проблема человека на войне носит конкретно-исторический, историко-теоретический и междисциплинарный характер.</w:t>
      </w:r>
    </w:p>
    <w:p w14:paraId="633B5415" w14:textId="77777777" w:rsidR="007D5824" w:rsidRPr="007D5824" w:rsidRDefault="007D5824" w:rsidP="007D5824">
      <w:pPr>
        <w:pStyle w:val="7"/>
      </w:pPr>
      <w:r w:rsidRPr="007D5824">
        <w:t xml:space="preserve">В ходе боев могут проявиться прямо противоположные качества – трусость и героизм, предательство и самопожертвование. Это зависит от многих факторов: от индивидуальных особенностей личности, от качества боевой готовности и умения владеть оружием, от продолжительности боевых действий и т. д. При этом катализатором поведения человека становится именно массовая психология, которая в ходе вооруженного конфликта может резко колебаться – от всплеска патриотических чувств к апатии и безразличию, вплоть до резкого неприятия войны, пацифистских и антиправительственных настроений в обществе. </w:t>
      </w:r>
    </w:p>
    <w:p w14:paraId="76159B24" w14:textId="77777777" w:rsidR="007D5824" w:rsidRPr="007D5824" w:rsidRDefault="007D5824" w:rsidP="007D5824">
      <w:pPr>
        <w:pStyle w:val="7"/>
      </w:pPr>
      <w:r w:rsidRPr="007D5824">
        <w:lastRenderedPageBreak/>
        <w:t xml:space="preserve">В периоды военных действий как положительные, так и отрицательные качества людей проявляются в увеличенном масштабе, ввиду того что поступки оцениваются по-иному, по завышенному нравственному критерию, который диктуется особыми обстоятельствами жизни. </w:t>
      </w:r>
    </w:p>
    <w:p w14:paraId="35EDBB66" w14:textId="77777777" w:rsidR="007D5824" w:rsidRPr="007D5824" w:rsidRDefault="007D5824" w:rsidP="007D5824">
      <w:pPr>
        <w:pStyle w:val="7"/>
      </w:pPr>
      <w:r w:rsidRPr="007D5824">
        <w:t>Пограничная ситуация – ситуация, возникающая перед лицом смерти, вины, тяжёлых жизненных испытаний, сильных стрессов. Одновременно боевая обстановка является катализатором многих психопатологических реакций, являющихся следствием того, что «пограничные ситуации» зачастую предъявляют к психике человека непомерные требования.</w:t>
      </w:r>
    </w:p>
    <w:p w14:paraId="7C3B13B0" w14:textId="77777777" w:rsidR="007D5824" w:rsidRPr="007D5824" w:rsidRDefault="007D5824" w:rsidP="007D5824">
      <w:pPr>
        <w:pStyle w:val="7"/>
      </w:pPr>
      <w:r w:rsidRPr="007D5824">
        <w:t xml:space="preserve"> Формируясь и наиболее ярко проявляясь в ходе военных действий, психология войны продолжает свое существование и после ее окончания, накладывая характерный отпечаток на жизнь общества в целом. В настоящее время военные медики все чаще используют такие нетрадиционные терминологические обозначения, отражающие, тем не менее, клиническую реальность, как «боевая психическая травма», «боевое утомление», психологические стрессовые реакции, а также «вьетнамский», «афганский», «чеченский» синдромы и другие.</w:t>
      </w:r>
    </w:p>
    <w:p w14:paraId="016F4CC3" w14:textId="77777777" w:rsidR="007D5824" w:rsidRPr="007D5824" w:rsidRDefault="007D5824" w:rsidP="007D5824">
      <w:pPr>
        <w:pStyle w:val="7"/>
      </w:pPr>
      <w:r w:rsidRPr="007D5824">
        <w:t>О поведении человека на войне можно узнать из произведений литературы и кинематографа, как художественных, так и документальных (наиболее правдоподобную информацию могут предоставить, как правило, те деятели культуры, которые были непосредственными участниками военных событий, их мысли и наблюдения наиболее правдоподобны, в отличие от современных произведений на военную тематику, которые абсолютно не понимают предмета, который пытаются отразить в своём творчестве). Ценные свидетельства о военной психологии дают как воспоминания участников войны, в виде элементов «устной истории», так и официально изданные мемуары видных военных деятелей. Имеют большую документальную ценность материалы архивов.</w:t>
      </w:r>
    </w:p>
    <w:p w14:paraId="25E09834" w14:textId="77777777" w:rsidR="007D5824" w:rsidRPr="007D5824" w:rsidRDefault="007D5824" w:rsidP="007D5824">
      <w:pPr>
        <w:pStyle w:val="7"/>
      </w:pPr>
      <w:r w:rsidRPr="007D5824">
        <w:t>Если суммировать основные проблемы психологического характера, которые могут охарактеризовать поведение человека в ситуации военных действий, то они могут выглядеть следующим образом.</w:t>
      </w:r>
    </w:p>
    <w:p w14:paraId="343BC1AF" w14:textId="77777777" w:rsidR="007D5824" w:rsidRPr="007D5824" w:rsidRDefault="007D5824" w:rsidP="007D5824">
      <w:pPr>
        <w:pStyle w:val="7"/>
      </w:pPr>
      <w:r w:rsidRPr="007D5824">
        <w:t xml:space="preserve">Влияние тяжёлых условий войны (морально-психологических, бытовых, биологических, климатических и пр.) на способность солдата отражать внешние события, приспособиться к ним и вести себя согласно тем требованиям, которые они выдвигают к каждой отдельной личности. Можно сказать, что и трусость, и храбрость, и растерянность, и собранность могут сочетаться в одном и том же человеке в зависимости от различных обстоятельств, в которые он попадал. Многие участники боевых действий не афишировали факты своего героизма, считая своё поведение на войне </w:t>
      </w:r>
      <w:r w:rsidRPr="007D5824">
        <w:lastRenderedPageBreak/>
        <w:t>естественным и не заслуживающим такого пристального внимания [8, с.244], которое, конечно должно было иметь место.</w:t>
      </w:r>
    </w:p>
    <w:p w14:paraId="73821DCA" w14:textId="77777777" w:rsidR="007D5824" w:rsidRPr="007D5824" w:rsidRDefault="007D5824" w:rsidP="007D5824">
      <w:pPr>
        <w:pStyle w:val="7"/>
      </w:pPr>
      <w:r w:rsidRPr="007D5824">
        <w:t>Отношение солдата к врагу и представителями народа, с которым в данное время идёт война. Здесь на психологическое состояние воина важное влияние оказывает пропаганда, которая определяет основные императивы поведения солдата на войне. Например, в самом начале Великой Отечественной войны много советских солдат не воспринимало немецких солдат именно как врагов. В предыдущие годы в советском обществе укоренялась мысль о том, что немецкий солдат – подневольное существо, рабочий человек, который ненавидит нацистский режим и готов переходить на нашу сторону при первой появившейся возможности. Коренному переформатированию восприятия врага содействовали талантливые произведения советской военной публицистики – стихотворение К. Симонова «Убей его», рассказ М. Шолохова «Наука ненависти», очерки И. Эренбурга и др. Затем, когда в ходе войны звериная сущность гитлеризма и позиция вражеских военнослужащих стали очевидны, ненависть к врагу достигла такого накала, что при приближении Красной армии к границам Германии журналистам было предписано писать более умеренные в оценках очерки, чтобы не началась тотальная месть немецкому населению за всё то, что натворили оккупанты на советской земле [5].</w:t>
      </w:r>
    </w:p>
    <w:p w14:paraId="61BDD451" w14:textId="77777777" w:rsidR="007D5824" w:rsidRPr="007D5824" w:rsidRDefault="007D5824" w:rsidP="007D5824">
      <w:pPr>
        <w:pStyle w:val="7"/>
      </w:pPr>
      <w:r w:rsidRPr="007D5824">
        <w:t>Влияние первого в жизни военного человека реального боя на его дальнейшее поведение на войне. Как показала практика Великой Отечественной войны, первый бой легче воспринимался теми бойцами, которые успели пройти срочную службу в довоенный период, они были обучены некоторым азам военного дела или военным хитростям. Один ветеран вспоминал: «Служил я срочную за 10 лет до войны, запомнил, как нас учил командир – когда лежишь на позиции и, если рядом вжикнула пуля – не суетись и не обнаруживай себя, она не твоя, случайная, а если вжикнула рядом вторая – срочно перекатывайся на другое место – тебя заметили и бьют уже по цели, и третья твоя точно будет». Эта нехитрая премудрость позволила ему, взятому на фронт осенью 1943 года, дойти в мае 1945 года до Австрии.</w:t>
      </w:r>
    </w:p>
    <w:p w14:paraId="4A87084F" w14:textId="77777777" w:rsidR="007D5824" w:rsidRPr="007D5824" w:rsidRDefault="007D5824" w:rsidP="007D5824">
      <w:pPr>
        <w:pStyle w:val="7"/>
      </w:pPr>
      <w:r w:rsidRPr="007D5824">
        <w:t xml:space="preserve">Сам факт боя, который в кратчайшее время выявляет экстремальные качества человека, которые могут и не проявиться как накануне боя, так и через некоторое время после него. Как правило, люди, пережившие бой, не любят распространяться о своих ощущениях в этот момент, в том числе и потому, что сами они его плохо помнят – в подобной ситуации человек действует часто автоматически. За непосредственных участников такой ситуации как правило говорят произведения литературы и кинематографа, где можно со стороны восстановить ход событий и поведение человека. Яркими примерами в этом смысле можно назвать подвиг солдата Алёши </w:t>
      </w:r>
      <w:r w:rsidRPr="007D5824">
        <w:lastRenderedPageBreak/>
        <w:t>Скворцова из фильма кинорежиссёра Г. Чухрая «Баллада о солдате», где он, как позже признался командиру, подбил два немецких танка «со страху», а так же поведение в нештатной ситуации младшего лейтенанта Малешкина, в кинофильме кинорежиссёра В. Трегубовича «На войне как на войне» (в разгар боя механик-водитель – опытный фронтовик с наградами впал в ступор, и военный новичок, молоденький командир выскакивает из самоходки под огонь врага и руководит действиями водителя). Такие фильмы создавали люди, сами прошедшие войну, и приведённые выше примеры были взяты ими из собственных наблюдений, поэтому правдивы.</w:t>
      </w:r>
    </w:p>
    <w:p w14:paraId="39569338" w14:textId="77777777" w:rsidR="007D5824" w:rsidRPr="007D5824" w:rsidRDefault="007D5824" w:rsidP="007D5824">
      <w:pPr>
        <w:pStyle w:val="7"/>
      </w:pPr>
      <w:r w:rsidRPr="007D5824">
        <w:t>Красноречиво свидетельствуют о проявлявшейся во время боя отваге советских морских пехотинцев при обороне Севастополя воспоминания участников тех событий [6, с.171-199]. Огромный пласт для исследователя представляет массив фактов героизма защитников Брестской крепости [4, с.363-372; 7, с.437-438; 8, с.85, 88, 248].</w:t>
      </w:r>
    </w:p>
    <w:p w14:paraId="495AA0FD" w14:textId="77777777" w:rsidR="007D5824" w:rsidRPr="007D5824" w:rsidRDefault="007D5824" w:rsidP="007D5824">
      <w:pPr>
        <w:pStyle w:val="7"/>
      </w:pPr>
      <w:r w:rsidRPr="007D5824">
        <w:t>Своеобразное «раздвоение» личности, при котором один и тот же боец на протяжении войны может проявлять как качества героя, самопожертвование, внутреннюю порядочность по отношению к своим боевым товарищам и к мирному населению, так и жестокость, мародёрство, склонность к насилию в отношении мирного населения. Имеются архивные свидетельства о поведении некоторых военнослужащих, прошедших тяжёлые военные испытания, в первые послевоенные месяцы [1, л.4, 43-44; 2, л.43; 3, л.4].</w:t>
      </w:r>
    </w:p>
    <w:p w14:paraId="34DED4FD" w14:textId="77777777" w:rsidR="007D5824" w:rsidRPr="007D5824" w:rsidRDefault="007D5824" w:rsidP="007D5824">
      <w:pPr>
        <w:pStyle w:val="7"/>
      </w:pPr>
      <w:r w:rsidRPr="007D5824">
        <w:t>Выявление войной её непосредственных участников на ряд собирательных психотипов:</w:t>
      </w:r>
    </w:p>
    <w:p w14:paraId="639DC7E6" w14:textId="77777777" w:rsidR="007D5824" w:rsidRPr="007D5824" w:rsidRDefault="007D5824" w:rsidP="007D5824">
      <w:pPr>
        <w:pStyle w:val="7"/>
      </w:pPr>
      <w:r w:rsidRPr="007D5824">
        <w:t>- «Воин по призванию» - человек, который «запрограммирован» на войну и видит в ней смысл жизни. Только в условиях войны он чувствует себя комфортно, и переход к мирной жизни он обычно переживает болезненно. «Человека войны» хорошо описан в образе полковника Най-Турса в романе М. Булгакова «Белая гвардия».</w:t>
      </w:r>
    </w:p>
    <w:p w14:paraId="370AA22A" w14:textId="77777777" w:rsidR="007D5824" w:rsidRPr="007D5824" w:rsidRDefault="007D5824" w:rsidP="007D5824">
      <w:pPr>
        <w:pStyle w:val="7"/>
      </w:pPr>
      <w:r w:rsidRPr="007D5824">
        <w:t xml:space="preserve">- «Воин по долгу» – доброволец, который в случае начала войны первым идёт в военкомат, так как он чётко усвоил одно из главных обязанностей гражданина – защищать Отечество, потому что так требуют обстоятельства. Он – не профессиональный военный, но человек, который следует заданным, как правило, с детства нравственным императивам. </w:t>
      </w:r>
    </w:p>
    <w:p w14:paraId="2DFBF668" w14:textId="77777777" w:rsidR="007D5824" w:rsidRPr="007D5824" w:rsidRDefault="007D5824" w:rsidP="007D5824">
      <w:pPr>
        <w:pStyle w:val="7"/>
      </w:pPr>
      <w:r w:rsidRPr="007D5824">
        <w:t xml:space="preserve">- «Воин по обязанности» идёт на войну по мобилизации, сам не проявляя инициативы, но не отказывающийся от своих обязанностей перед государством и обществом. Ему требуется грамотно объяснить, за что и для чего он воюет. При сильной мотивации он способен относительно легко переносить тяготы войны. В качестве примера можно привести Советско-финскую войну, где официально объявленные цели войны были для простых советских людей туманными, Финляндия была для многих из них </w:t>
      </w:r>
      <w:r w:rsidRPr="007D5824">
        <w:lastRenderedPageBreak/>
        <w:t>абстрактным понятием, а доносившиеся до общества слухи о провальной организации этой войны и страшных потерях непонятно во имя чего, охладили пыл желающих принять участие в военных действиях. А вот начало Великой Отечественной войны вызвало принципиально иную реакцию населения, потому что цели и задачи войны стали близкими и понятными для призванных воевать людей. В противопоставление этому психотипу можно привести пример эпизода из американского фильма режиссёра Р. Эммериха «Мидуэй», где главный герой в ответ на похвалы, как он хорошо воюет в воздухе с японскими лётчиками, ответил: «Мне за это платят!». Очень трудно представить такой ответ из уст советского лётчика.</w:t>
      </w:r>
    </w:p>
    <w:p w14:paraId="3628C2C2" w14:textId="77777777" w:rsidR="007D5824" w:rsidRPr="007D5824" w:rsidRDefault="007D5824" w:rsidP="007D5824">
      <w:pPr>
        <w:pStyle w:val="7"/>
      </w:pPr>
      <w:r w:rsidRPr="007D5824">
        <w:t>- «Вооружённый миротворец» – человек, который воспринимает участие в военных действиях как обязанность, но при этом, не «лезет на рожон» в числе первых, и при случае старается быть толерантным к населению, с армией которого он воюет, и вообще несколько тяготится своим присутствием на войне. При этом он способен на героические поступки в силу своего воспитания. Такой психотип воина подробно описан в произведениях Э. Ремарка «На Западном фронте без перемен» и «Три товарища».</w:t>
      </w:r>
    </w:p>
    <w:p w14:paraId="54C4512F" w14:textId="77777777" w:rsidR="007D5824" w:rsidRPr="007D5824" w:rsidRDefault="007D5824" w:rsidP="007D5824">
      <w:pPr>
        <w:pStyle w:val="7"/>
      </w:pPr>
      <w:r w:rsidRPr="007D5824">
        <w:t xml:space="preserve">- «Профессиональный военный». О таких людях повествует один из лучших советских кинофильмов на военную тематику «Офицеры», в котором первый командир главного героя картины объясняет ему его предназначение: «Есть такая профессия – Родину защищать». </w:t>
      </w:r>
    </w:p>
    <w:p w14:paraId="0A6B6792" w14:textId="77777777" w:rsidR="007D5824" w:rsidRPr="007D5824" w:rsidRDefault="007D5824" w:rsidP="007D5824">
      <w:pPr>
        <w:pStyle w:val="7"/>
      </w:pPr>
      <w:r w:rsidRPr="007D5824">
        <w:t>- «Пацифист» и «Антивоенный человек». Мы сознательно объединили эти два психотипа в один, так как при некоторых различиях, они похожи. Они осуждают войну как явление, зачастую не вдаваясь в её причины, и сосредотачиваются на идее аморальности войны, не утруждая себя пониманием её опасности для своей страны и народа. С точки зрения врага, они им оцениваются положительно по понятным причинам. С точки зрения «своих» - такие – первые кандидаты в «предатели», хотя это – факт неочевидный. Но логика поведения человека на войне их отнесёт к «слабому звену». В Красной армии отношение к представителям таких психотипов было очевидно негативным в силу понимания ответственности воина и отчётливого мнения о том, что с такой психологией угрозу, нависшую над страной, не отведёшь, и таковыми обычно интересовался военный трибунал. В армии США, наоборот, это было неочевидно. Об этом свидетельствует американская военная драма «По соображениям совести», основанная на реальном событии – во время боёв американцев с японцами на о. Окинава появился первый «идейный уклонист» в США военный медик Десмонд Десс, который отказался убивать врагов.</w:t>
      </w:r>
    </w:p>
    <w:p w14:paraId="55710A4E" w14:textId="77777777" w:rsidR="007D5824" w:rsidRPr="007D5824" w:rsidRDefault="007D5824" w:rsidP="007D5824">
      <w:pPr>
        <w:pStyle w:val="7"/>
      </w:pPr>
      <w:r w:rsidRPr="007D5824">
        <w:lastRenderedPageBreak/>
        <w:t xml:space="preserve">Стоит отметить, что страх плена связан у военного человека с неопределённостью своего положения в случае попадания в это состояние. Как правило, обществом это оценивается негативно, и для человека, побывавшего в плену, это факт постыдный (хотя, обстоятельства, которые привели к этому результату, бывают разные). Человек, который попал в плен, будучи тяжело раненым и недееспособным, или вследствие отсутствия средств сопротивления или поддержания жизнеспособности (воды, еды и т.п.), имеет моральное оправдание перед соотечественниками. Сложнее приходится тем, кто пошёл в плен добровольно или не исчерпал в полном объёме возможности к сопротивлению. В Красной армии этому были посвящены Приказы Ставки Верховного главного командования № 270 от 16 августа 1941 г. и Наркома обороны № 227 от 28 июля 1942 г., которые вводили суровую ответственность за сдачу в плен и оставление позиции без приказа, вплоть до привлечения к ответственности родственников нарушившего приказы. При всей внешней жестокости такое отношение сыграло огромную роль. </w:t>
      </w:r>
    </w:p>
    <w:p w14:paraId="6CA52A00" w14:textId="77777777" w:rsidR="007D5824" w:rsidRPr="007D5824" w:rsidRDefault="007D5824" w:rsidP="007D5824">
      <w:pPr>
        <w:pStyle w:val="7"/>
      </w:pPr>
      <w:r w:rsidRPr="007D5824">
        <w:t>Подводя итог вышесказанному, можно сделать выводы, что вопросы военной психологии представляются очень актуальными и в настоящее время, поскольку войны, как фактор жизни современной цивилизации, имеют место. Поведение человека на войне продолжает вызывать интерес исследователей, в том числе психологов. В любом случае, люди воевавшие, практически единодушны во мнении, что настоящим героем на войне являлся тот, кто мог чувствовать страх своей гибели, но преодолевал его, повинуясь, где осознанно, а где инстинктивно, своему воинскому долгу, и внутренне был готов принять любое решение судьбы в отношении своей жизни.</w:t>
      </w:r>
    </w:p>
    <w:p w14:paraId="17492FC6" w14:textId="77777777" w:rsidR="007D5824" w:rsidRDefault="007D5824" w:rsidP="007D5824">
      <w:pPr>
        <w:pStyle w:val="7"/>
      </w:pPr>
    </w:p>
    <w:p w14:paraId="5677ECC4" w14:textId="77777777" w:rsidR="007D5824" w:rsidRPr="007D5824" w:rsidRDefault="007D5824" w:rsidP="007D5824">
      <w:pPr>
        <w:pStyle w:val="7"/>
      </w:pPr>
    </w:p>
    <w:p w14:paraId="6DBA7673" w14:textId="13A0F783" w:rsidR="007D5824" w:rsidRPr="00C17197" w:rsidRDefault="007D5824" w:rsidP="007D5824">
      <w:pPr>
        <w:pStyle w:val="8"/>
        <w:numPr>
          <w:ilvl w:val="0"/>
          <w:numId w:val="45"/>
        </w:numPr>
        <w:ind w:left="0" w:firstLine="709"/>
        <w:rPr>
          <w:spacing w:val="-4"/>
        </w:rPr>
      </w:pPr>
      <w:r w:rsidRPr="00C17197">
        <w:rPr>
          <w:spacing w:val="-4"/>
        </w:rPr>
        <w:t>Государственный архив Брестской области (далее ГАБО) Ф.13-п. О. 1. Д. 21</w:t>
      </w:r>
      <w:r w:rsidR="00C17197">
        <w:rPr>
          <w:spacing w:val="-4"/>
          <w:lang w:val="ru-RU"/>
        </w:rPr>
        <w:t>.</w:t>
      </w:r>
    </w:p>
    <w:p w14:paraId="255F0A79" w14:textId="21440FFE" w:rsidR="007D5824" w:rsidRDefault="007D5824" w:rsidP="007D5824">
      <w:pPr>
        <w:pStyle w:val="8"/>
        <w:numPr>
          <w:ilvl w:val="0"/>
          <w:numId w:val="45"/>
        </w:numPr>
        <w:ind w:left="0" w:firstLine="709"/>
      </w:pPr>
      <w:r>
        <w:t>ГАБО. Ф. 13-п. О. 1. Д. 23</w:t>
      </w:r>
      <w:r w:rsidR="00C17197">
        <w:rPr>
          <w:lang w:val="ru-RU"/>
        </w:rPr>
        <w:t>.</w:t>
      </w:r>
    </w:p>
    <w:p w14:paraId="4A217EA0" w14:textId="4B264DFA" w:rsidR="007D5824" w:rsidRDefault="007D5824" w:rsidP="007D5824">
      <w:pPr>
        <w:pStyle w:val="8"/>
        <w:numPr>
          <w:ilvl w:val="0"/>
          <w:numId w:val="45"/>
        </w:numPr>
        <w:ind w:left="0" w:firstLine="709"/>
      </w:pPr>
      <w:r>
        <w:t>ГАБО. Ф. 13-п. О. 1. Д. 70</w:t>
      </w:r>
      <w:r w:rsidR="00C17197">
        <w:rPr>
          <w:lang w:val="ru-RU"/>
        </w:rPr>
        <w:t>.</w:t>
      </w:r>
    </w:p>
    <w:p w14:paraId="0203A296" w14:textId="18DFFFCD" w:rsidR="007D5824" w:rsidRDefault="007D5824" w:rsidP="007D5824">
      <w:pPr>
        <w:pStyle w:val="8"/>
        <w:numPr>
          <w:ilvl w:val="0"/>
          <w:numId w:val="45"/>
        </w:numPr>
        <w:ind w:left="0" w:firstLine="709"/>
      </w:pPr>
      <w:r>
        <w:t>Алиев, Р.</w:t>
      </w:r>
      <w:r w:rsidR="00C17197">
        <w:rPr>
          <w:lang w:val="ru-RU"/>
        </w:rPr>
        <w:t xml:space="preserve"> </w:t>
      </w:r>
      <w:r>
        <w:t>В. Штурм Брестской крепости / Р.</w:t>
      </w:r>
      <w:r w:rsidR="00C17197">
        <w:rPr>
          <w:lang w:val="ru-RU"/>
        </w:rPr>
        <w:t xml:space="preserve"> </w:t>
      </w:r>
      <w:r>
        <w:t>В. Алиев. – М.: Яуза; Эксмо, 2008. – 800 с.</w:t>
      </w:r>
    </w:p>
    <w:p w14:paraId="6080FB87" w14:textId="7E5E4690" w:rsidR="007D5824" w:rsidRDefault="007D5824" w:rsidP="007D5824">
      <w:pPr>
        <w:pStyle w:val="8"/>
        <w:numPr>
          <w:ilvl w:val="0"/>
          <w:numId w:val="45"/>
        </w:numPr>
        <w:ind w:left="0" w:firstLine="709"/>
      </w:pPr>
      <w:r>
        <w:t>Военная публицистика и фронтовые очерки / под ред. В. Кожевникова, К. Смирнова, А. Суркова. – М.: Художественная литература, 1966. – 608 с.</w:t>
      </w:r>
    </w:p>
    <w:p w14:paraId="4F3E5C3C" w14:textId="1D59A879" w:rsidR="007D5824" w:rsidRDefault="007D5824" w:rsidP="007D5824">
      <w:pPr>
        <w:pStyle w:val="8"/>
        <w:numPr>
          <w:ilvl w:val="0"/>
          <w:numId w:val="45"/>
        </w:numPr>
        <w:ind w:left="0" w:firstLine="709"/>
      </w:pPr>
      <w:r>
        <w:t>Маношин, И.</w:t>
      </w:r>
      <w:r w:rsidR="00C17197">
        <w:rPr>
          <w:lang w:val="ru-RU"/>
        </w:rPr>
        <w:t xml:space="preserve"> </w:t>
      </w:r>
      <w:r>
        <w:t>С. Июль 1942 года. Падение Севастополя / И.</w:t>
      </w:r>
      <w:r w:rsidR="00C17197">
        <w:rPr>
          <w:lang w:val="ru-RU"/>
        </w:rPr>
        <w:t xml:space="preserve"> </w:t>
      </w:r>
      <w:r>
        <w:t>С. Маношин. – М.: Вече, 2009. – 288 с.</w:t>
      </w:r>
    </w:p>
    <w:p w14:paraId="266553BF" w14:textId="1642D7B3" w:rsidR="007D5824" w:rsidRDefault="007D5824" w:rsidP="007D5824">
      <w:pPr>
        <w:pStyle w:val="8"/>
        <w:numPr>
          <w:ilvl w:val="0"/>
          <w:numId w:val="45"/>
        </w:numPr>
        <w:ind w:left="0" w:firstLine="709"/>
      </w:pPr>
      <w:r>
        <w:t>Сандалов, Л.</w:t>
      </w:r>
      <w:r w:rsidR="00C17197">
        <w:rPr>
          <w:lang w:val="ru-RU"/>
        </w:rPr>
        <w:t xml:space="preserve"> </w:t>
      </w:r>
      <w:r>
        <w:t>М. 1941. На московском направлении / Л.</w:t>
      </w:r>
      <w:r w:rsidR="00C17197">
        <w:rPr>
          <w:lang w:val="ru-RU"/>
        </w:rPr>
        <w:t xml:space="preserve"> </w:t>
      </w:r>
      <w:r>
        <w:t>М. Сандалов. – М.: Вече, 2006. – 576 с.</w:t>
      </w:r>
    </w:p>
    <w:p w14:paraId="184A9A16" w14:textId="64651E28" w:rsidR="007D5824" w:rsidRDefault="007D5824" w:rsidP="007D5824">
      <w:pPr>
        <w:pStyle w:val="8"/>
        <w:numPr>
          <w:ilvl w:val="0"/>
          <w:numId w:val="45"/>
        </w:numPr>
        <w:ind w:left="0" w:firstLine="709"/>
      </w:pPr>
      <w:r>
        <w:t>Смирнов, С.</w:t>
      </w:r>
      <w:r w:rsidR="00C17197">
        <w:rPr>
          <w:lang w:val="ru-RU"/>
        </w:rPr>
        <w:t xml:space="preserve"> </w:t>
      </w:r>
      <w:r>
        <w:t>С. Брестская крепость / С.</w:t>
      </w:r>
      <w:r w:rsidR="00C17197">
        <w:rPr>
          <w:lang w:val="ru-RU"/>
        </w:rPr>
        <w:t xml:space="preserve"> </w:t>
      </w:r>
      <w:r>
        <w:t>С. Смирнов. – М.: Молодая гвардия, 1965. – 496 с.</w:t>
      </w:r>
    </w:p>
    <w:p w14:paraId="16151C68" w14:textId="77777777" w:rsidR="007D5824" w:rsidRDefault="007D5824" w:rsidP="00E25B19">
      <w:pPr>
        <w:spacing w:after="0" w:line="240" w:lineRule="auto"/>
        <w:jc w:val="both"/>
        <w:rPr>
          <w:rFonts w:ascii="Times New Roman" w:hAnsi="Times New Roman" w:cs="Times New Roman"/>
          <w:sz w:val="28"/>
          <w:szCs w:val="28"/>
        </w:rPr>
      </w:pPr>
    </w:p>
    <w:p w14:paraId="0FC5D815"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1E9706AB" w14:textId="77777777" w:rsidR="00C17197" w:rsidRDefault="00C17197" w:rsidP="00C17197">
      <w:pPr>
        <w:pStyle w:val="12"/>
      </w:pPr>
      <w:r>
        <w:lastRenderedPageBreak/>
        <w:t>УДК 930.2</w:t>
      </w:r>
    </w:p>
    <w:p w14:paraId="3F2A8A4D" w14:textId="77777777" w:rsidR="00C17197" w:rsidRDefault="00C17197" w:rsidP="00C17197">
      <w:pPr>
        <w:pStyle w:val="14"/>
      </w:pPr>
      <w:bookmarkStart w:id="105" w:name="_Toc181894120"/>
      <w:r>
        <w:t>А.В. КУЗЬМИЧ</w:t>
      </w:r>
      <w:bookmarkEnd w:id="105"/>
      <w:r>
        <w:t xml:space="preserve"> </w:t>
      </w:r>
    </w:p>
    <w:p w14:paraId="22E79DD9" w14:textId="45D8C320" w:rsidR="00C17197" w:rsidRDefault="00C17197" w:rsidP="00C17197">
      <w:pPr>
        <w:pStyle w:val="3"/>
      </w:pPr>
      <w:r>
        <w:t>Брест, БрГУ им. А.С. Пушкина</w:t>
      </w:r>
    </w:p>
    <w:p w14:paraId="2A9F4B80" w14:textId="67F89D8B" w:rsidR="00C17197" w:rsidRDefault="00C17197" w:rsidP="00C17197">
      <w:pPr>
        <w:pStyle w:val="4"/>
      </w:pPr>
      <w:r>
        <w:t xml:space="preserve">Научный руководитель – Е.С. Розенблат, к.и.н., доцент </w:t>
      </w:r>
    </w:p>
    <w:p w14:paraId="3C2033C9" w14:textId="77777777" w:rsidR="00C17197" w:rsidRDefault="00C17197" w:rsidP="00C17197">
      <w:pPr>
        <w:pStyle w:val="7"/>
      </w:pPr>
    </w:p>
    <w:p w14:paraId="3A6F6808" w14:textId="77777777" w:rsidR="00C17197" w:rsidRDefault="00C17197" w:rsidP="00C17197">
      <w:pPr>
        <w:pStyle w:val="5"/>
      </w:pPr>
      <w:r>
        <w:t>ПРИМЕНЕНИЕ МЕТОДОВ ПСИХОИСТОРИИ В ЦЕЛЯХ ИЗУЧЕНИЯ МАТЕРИАЛЬНОЙ КУЛЬТУРЫ</w:t>
      </w:r>
    </w:p>
    <w:p w14:paraId="5EF6D5B8" w14:textId="77777777" w:rsidR="00C17197" w:rsidRDefault="00C17197" w:rsidP="00C17197">
      <w:pPr>
        <w:pStyle w:val="7"/>
      </w:pPr>
    </w:p>
    <w:p w14:paraId="3E71D361" w14:textId="77777777" w:rsidR="00C17197" w:rsidRDefault="00C17197" w:rsidP="00C17197">
      <w:pPr>
        <w:pStyle w:val="6"/>
      </w:pPr>
      <w:r>
        <w:t>В данной работе рассмотрен вопрос об использовании методов психоистории в контексте рассмотрения материальной культуры. В статье главным образом затрагивается связь между сущностным содержанием психоистории и логикой применения основных психоисторических методов, а также их возможном применении в анализе материальной культуры.</w:t>
      </w:r>
    </w:p>
    <w:p w14:paraId="2FC6FA6B" w14:textId="77777777" w:rsidR="00C17197" w:rsidRDefault="00C17197" w:rsidP="00C17197">
      <w:pPr>
        <w:spacing w:after="0" w:line="240" w:lineRule="auto"/>
        <w:ind w:firstLine="709"/>
        <w:jc w:val="both"/>
        <w:rPr>
          <w:rFonts w:ascii="Times New Roman" w:hAnsi="Times New Roman" w:cs="Times New Roman"/>
          <w:sz w:val="28"/>
          <w:szCs w:val="28"/>
        </w:rPr>
      </w:pPr>
    </w:p>
    <w:p w14:paraId="7F81ADF7" w14:textId="77777777" w:rsidR="00C17197" w:rsidRDefault="00C17197" w:rsidP="00C17197">
      <w:pPr>
        <w:pStyle w:val="7"/>
        <w:rPr>
          <w:lang w:val="be-BY"/>
        </w:rPr>
      </w:pPr>
      <w:r>
        <w:rPr>
          <w:lang w:val="be-BY"/>
        </w:rPr>
        <w:t>Использование методов психоистории в контексте рассмотрения материальной культуры на первый взгляд хотя и не представляется крайне актуальной темой, однако она является важным этапом в решении проблемы переосмысления роли психологических методов в историческом анализе.</w:t>
      </w:r>
    </w:p>
    <w:p w14:paraId="2CFBC76E" w14:textId="77777777" w:rsidR="00C17197" w:rsidRDefault="00C17197" w:rsidP="00C17197">
      <w:pPr>
        <w:pStyle w:val="7"/>
        <w:rPr>
          <w:lang w:val="be-BY"/>
        </w:rPr>
      </w:pPr>
      <w:r>
        <w:rPr>
          <w:lang w:val="be-BY"/>
        </w:rPr>
        <w:t xml:space="preserve">Использование методов психоистории в целях изучения материальной культуры может показаться на первый взгляд крайне сомнительным занятием, однако в данной статье мы рассмотрим, почему методика психоисторического исследования может нести в себе огромный потенциал, а также какую роль в этом играют методы психоисторического исследования. </w:t>
      </w:r>
    </w:p>
    <w:p w14:paraId="521E939D" w14:textId="56EC1495" w:rsidR="00C17197" w:rsidRDefault="00C17197" w:rsidP="00C17197">
      <w:pPr>
        <w:pStyle w:val="7"/>
      </w:pPr>
      <w:r>
        <w:t>Главным образом стоит привести основные психоисторические методы, чтобы была возможность составить представление об их последующем применении в изучении материальной культуры. Психоистория предоставляет исследователю следующие методы: комплексный историко-психологический метод, анализ групповых фантазий, моделирование, социально-психологический подход [</w:t>
      </w:r>
      <w:r>
        <w:fldChar w:fldCharType="begin"/>
      </w:r>
      <w:r>
        <w:instrText xml:space="preserve"> REF _Ref166189314 \r \h  \* MERGEFORMAT </w:instrText>
      </w:r>
      <w:r>
        <w:fldChar w:fldCharType="separate"/>
      </w:r>
      <w:r w:rsidR="00761013">
        <w:t>3</w:t>
      </w:r>
      <w:r>
        <w:fldChar w:fldCharType="end"/>
      </w:r>
      <w:r>
        <w:t>, с. 111].</w:t>
      </w:r>
    </w:p>
    <w:p w14:paraId="7A11C0E7" w14:textId="77777777" w:rsidR="00C17197" w:rsidRDefault="00C17197" w:rsidP="00C17197">
      <w:pPr>
        <w:pStyle w:val="7"/>
      </w:pPr>
      <w:r>
        <w:t xml:space="preserve">На первый взгляд приведённые выше методы, за исключением анализа групповых фантазий не бросается в глаза как действительно подходящий методологический аппарат для изучения материальной культуры. Однако тут стоит сразу же отметить, что очень многое зависит как от понимания исследователем материальной культуры, так и от источниковой базы, которая есть в распоряжении исследователя. </w:t>
      </w:r>
    </w:p>
    <w:p w14:paraId="16225A14" w14:textId="77777777" w:rsidR="00C17197" w:rsidRDefault="00C17197" w:rsidP="00C17197">
      <w:pPr>
        <w:pStyle w:val="7"/>
      </w:pPr>
      <w:r>
        <w:t xml:space="preserve">В данной работе под материальной культурой будет пониматься не только материальный мир вещей, который составляют исторические и, в частности, археологические источники, а также сущностное содержание этих самых вещей, которое позволяет понять как физические, так и </w:t>
      </w:r>
      <w:r>
        <w:lastRenderedPageBreak/>
        <w:t>психологические условия жизни людей того либо иного исторического периода.</w:t>
      </w:r>
    </w:p>
    <w:p w14:paraId="3EE663FE" w14:textId="77777777" w:rsidR="00C17197" w:rsidRDefault="00C17197" w:rsidP="00C17197">
      <w:pPr>
        <w:pStyle w:val="7"/>
      </w:pPr>
      <w:r>
        <w:t>Возвращаясь от краткого отступления касавшегося сущностного содержания материальной культуры, мы можем вернуться к вопросу применения методологии психоистории. Поскольку изучение материальной культуры в отрыве от человека, который является её создателем невозможно, юнгианский анализ может послужить тем самым мостиком между человеком и его творениями. В данной ситуации на основе идеи о коллективном бессознательном возможно выделять глубинные аспекты человеческой психики, которые формировали ту, либо иную культурную действительность, которую мог представить определённый этнос. Таким образом можно отметить, что основой для непосредственного применения методов психоистории в отношении материальной культуры будет служить юнгианский анализ, из чего закономерно может последовать вопрос: «Каким образом психоисторические методы могут применяться в отношении материальной культуры, если в конечном итоге всё сводится к анализу человеческой психики?». Тут же можно оппонировать, что методология науки, а в частности междисциплинарного исследования внутри самой себя имеет довольно глубоко скрытые нити незаметные на первый взгляд, однако при детальном анализе может выясниться, что при отсутствии этих скрытых от невооружённого взгляда связей и соединений может всё рухнуть. Так происходит и в случае с психоисторическим исследованием. Хотя на первый взгляд применение условного комплексного историко-психологического метода для изучения материальной культуры кажется бессмысленным, на самом деле это не так. Комплексный историко-психологический метод уже имеет под собой междисциплинарную связь истории и психологии, в частности историко-генетического метода и психоанализа. Тут же стоит отметить присущую данному методу ретроспекцию. В данном контексте она крайне важна, что можно продемонстрировать на примере, который будет приведён нами в следующем абзаце, а также одновременно и решить проблему использования психоисторических методов для анализа материальной культуры.</w:t>
      </w:r>
    </w:p>
    <w:p w14:paraId="2796DFFE" w14:textId="39DE6EE6" w:rsidR="00C17197" w:rsidRDefault="00C17197" w:rsidP="00C17197">
      <w:pPr>
        <w:pStyle w:val="7"/>
      </w:pPr>
      <w:r>
        <w:t xml:space="preserve">Для примера нам послужит история взятая из «Архетипов и коллективного бессознательного» К. Юнга. «Жил-был чудаковатый старик. Он жил в пещере, в которой скрывался от шума и суеты деревни. Его считали колдуном, а потому у него были ученики, которые надеялись научиться у него искусству колдовства. Сам же он не думал ни о чем подобном. Он только стремился узнать то, чего он не знал, но что, как он чувствовал, происходило всегда. После долгих размышлений о том, что в принципе недоступно разуму, он решил, что единственный способ выйти из </w:t>
      </w:r>
      <w:r>
        <w:lastRenderedPageBreak/>
        <w:t>затруднительного положения – взять кусочек красного мела и нарисовать на стене пещеры всевозможные диаграммы с тем, чтобы найти ту, на которую больше всего похоже неведомое. После многочисленных попыток ему пришло в голову нарисовать круг. «Это верно, – обрадовался он. – А теперь еще квадрат внутри! Это будет еще лучше» [</w:t>
      </w:r>
      <w:r>
        <w:rPr>
          <w:lang w:val="en-US"/>
        </w:rPr>
        <w:fldChar w:fldCharType="begin"/>
      </w:r>
      <w:r w:rsidRPr="0097408C">
        <w:instrText xml:space="preserve"> </w:instrText>
      </w:r>
      <w:r>
        <w:rPr>
          <w:lang w:val="en-US"/>
        </w:rPr>
        <w:instrText>REF</w:instrText>
      </w:r>
      <w:r>
        <w:instrText xml:space="preserve"> _</w:instrText>
      </w:r>
      <w:r>
        <w:rPr>
          <w:lang w:val="en-US"/>
        </w:rPr>
        <w:instrText>Ref</w:instrText>
      </w:r>
      <w:r>
        <w:instrText>166512121 \</w:instrText>
      </w:r>
      <w:r>
        <w:rPr>
          <w:lang w:val="en-US"/>
        </w:rPr>
        <w:instrText>r</w:instrText>
      </w:r>
      <w:r>
        <w:instrText xml:space="preserve"> \</w:instrText>
      </w:r>
      <w:r>
        <w:rPr>
          <w:lang w:val="en-US"/>
        </w:rPr>
        <w:instrText>h</w:instrText>
      </w:r>
      <w:r w:rsidRPr="0097408C">
        <w:instrText xml:space="preserve">  \* </w:instrText>
      </w:r>
      <w:r>
        <w:rPr>
          <w:lang w:val="en-US"/>
        </w:rPr>
        <w:instrText>MERGEFORMAT</w:instrText>
      </w:r>
      <w:r w:rsidRPr="0097408C">
        <w:instrText xml:space="preserve"> </w:instrText>
      </w:r>
      <w:r>
        <w:rPr>
          <w:lang w:val="en-US"/>
        </w:rPr>
      </w:r>
      <w:r>
        <w:rPr>
          <w:lang w:val="en-US"/>
        </w:rPr>
        <w:fldChar w:fldCharType="separate"/>
      </w:r>
      <w:r w:rsidR="00761013" w:rsidRPr="0097408C">
        <w:t>7</w:t>
      </w:r>
      <w:r>
        <w:rPr>
          <w:lang w:val="en-US"/>
        </w:rPr>
        <w:fldChar w:fldCharType="end"/>
      </w:r>
      <w:r>
        <w:t>, с. 157].</w:t>
      </w:r>
    </w:p>
    <w:p w14:paraId="621BC925" w14:textId="77777777" w:rsidR="00C17197" w:rsidRDefault="00C17197" w:rsidP="00C17197">
      <w:pPr>
        <w:pStyle w:val="7"/>
      </w:pPr>
      <w:r>
        <w:t xml:space="preserve">Из данной истории мы имеем субъект, то есть старика и объект материальной культуры – рисунки на стене, оставленные стариком, которые скорее всего представляют собой ничто иное как мандалы. Первое что нам может дать комплексный историко-психологический метод это представление о психике индивида посредством психоанализа, следующим же будет понимание мотивации индивида в создании материальной культуры. Если вы всё ещё задаётесь мыслю о том, что метод применяется в отношении человека с целью понять материальную культуру и её сущность, то тут мы вспоминаем о ретроспекции, предлагаемой данным методом, и уже производим анализ непосредственно материальной культуры и на основании него мы чисто технически в состоянии составить научную гипотезу о психологии отдельного индивида. </w:t>
      </w:r>
    </w:p>
    <w:p w14:paraId="5F008148" w14:textId="4A07A40A" w:rsidR="00C17197" w:rsidRDefault="00C17197" w:rsidP="00C17197">
      <w:pPr>
        <w:pStyle w:val="7"/>
      </w:pPr>
      <w:r>
        <w:t xml:space="preserve">В случае же с анализом групповых фантазий всё в разы проще, в связи с тем, что групповые фантазии могут быть отражены напрямую в объектах материальной культуры, что является особенно свойственным для древних и архаичных обществ. Для примера можно взять античную Грецию, где наиболее ярким отражением групповых фантазий могут послужить различные изображения сцен мифологического характера, которые можно найти на различных вазах, сосудах, настенной живописи. Тут же можно и отметить, что анализ групповых фантазий может помочь в понимании какого-либо конкретного индивида, поскольку как ещё в </w:t>
      </w:r>
      <w:r>
        <w:rPr>
          <w:lang w:val="en-US"/>
        </w:rPr>
        <w:t>XX</w:t>
      </w:r>
      <w:r w:rsidRPr="00541980">
        <w:t xml:space="preserve"> </w:t>
      </w:r>
      <w:r>
        <w:t xml:space="preserve">в. писал З. Фрейд </w:t>
      </w:r>
      <w:r>
        <w:rPr>
          <w:lang w:val="be-BY"/>
        </w:rPr>
        <w:t xml:space="preserve">в своей работе </w:t>
      </w:r>
      <w:r>
        <w:t>«Психология масс и анализ человеческого Я», что «Противоположность между индивидуальной психологией и социальной психологией (или психологией масс), кажущаяся на первый взгляд весьма значительной, оказывается при тщательном исследовании не столь резкой» [</w:t>
      </w:r>
      <w:r>
        <w:rPr>
          <w:lang w:val="be-BY"/>
        </w:rPr>
        <w:fldChar w:fldCharType="begin"/>
      </w:r>
      <w:r>
        <w:instrText xml:space="preserve"> REF _Ref166431126 \r \h </w:instrText>
      </w:r>
      <w:r>
        <w:rPr>
          <w:lang w:val="be-BY"/>
        </w:rPr>
        <w:instrText xml:space="preserve"> \* MERGEFORMAT </w:instrText>
      </w:r>
      <w:r>
        <w:rPr>
          <w:lang w:val="be-BY"/>
        </w:rPr>
      </w:r>
      <w:r>
        <w:rPr>
          <w:lang w:val="be-BY"/>
        </w:rPr>
        <w:fldChar w:fldCharType="separate"/>
      </w:r>
      <w:r w:rsidR="00761013">
        <w:t>4</w:t>
      </w:r>
      <w:r>
        <w:rPr>
          <w:lang w:val="be-BY"/>
        </w:rPr>
        <w:fldChar w:fldCharType="end"/>
      </w:r>
      <w:r>
        <w:t>, с. 7]. Так при анализе той же античной мифологии можно прийти к выводу, что она во многом она является прямой репрезентацией греческого общества. В греческой мифологии главный упор делается именно на жизнь богов, в то время как обычный человеческий род является не самым жалуемым на описания во всей мифологеме Древней Греции. Так Древние Греки крайне сильно соотносили и сливали свою жизнь – «жизнь и мир людей» с «жизнью и миром богов». Причём примеров этому огромное количество. Тот же известный философ Аристотель</w:t>
      </w:r>
      <w:r>
        <w:rPr>
          <w:lang w:val="be-BY"/>
        </w:rPr>
        <w:t xml:space="preserve"> был из семьи потомственных врачей, что крайне сильно выделяло его на фоне остальных жителей Стагиры </w:t>
      </w:r>
      <w:r>
        <w:t>[</w:t>
      </w:r>
      <w:r>
        <w:fldChar w:fldCharType="begin"/>
      </w:r>
      <w:r>
        <w:instrText xml:space="preserve"> REF _Ref166498685 \r \h  \* MERGEFORMAT </w:instrText>
      </w:r>
      <w:r>
        <w:fldChar w:fldCharType="separate"/>
      </w:r>
      <w:r w:rsidR="00761013">
        <w:t>2</w:t>
      </w:r>
      <w:r>
        <w:fldChar w:fldCharType="end"/>
      </w:r>
      <w:r>
        <w:rPr>
          <w:lang w:val="be-BY"/>
        </w:rPr>
        <w:t>, с. 21</w:t>
      </w:r>
      <w:r>
        <w:t>]. Это было связано с тем, что врачи происходили</w:t>
      </w:r>
      <w:r>
        <w:rPr>
          <w:lang w:val="be-BY"/>
        </w:rPr>
        <w:t xml:space="preserve"> от божественного врача Асклепия. Асклепий согластно Древнегреческой </w:t>
      </w:r>
      <w:r>
        <w:rPr>
          <w:lang w:val="be-BY"/>
        </w:rPr>
        <w:lastRenderedPageBreak/>
        <w:t xml:space="preserve">мифологии был сыном Аполлона, так же был </w:t>
      </w:r>
      <w:r>
        <w:t>«богом врачей и врачебного искусства» [</w:t>
      </w:r>
      <w:r>
        <w:fldChar w:fldCharType="begin"/>
      </w:r>
      <w:r>
        <w:instrText xml:space="preserve"> REF _Ref166499082 \r \h  \* MERGEFORMAT </w:instrText>
      </w:r>
      <w:r>
        <w:fldChar w:fldCharType="separate"/>
      </w:r>
      <w:r w:rsidR="00761013">
        <w:t>1</w:t>
      </w:r>
      <w:r>
        <w:fldChar w:fldCharType="end"/>
      </w:r>
      <w:r>
        <w:t>, с. 39]. Так беря во внимание анализ материальных источников с изображением Асклепия, которые дошли до нашего времени, как например скульптура, сделанная из мрамора по греческому оригиналу (рис. 1), может дать нам определённое представление об античном символизме. Символом Асклепия в античности была змея, обвивающаяся вокруг его посоха, а в дальнем это самая змея стала символом медицины [</w:t>
      </w:r>
      <w:r>
        <w:fldChar w:fldCharType="begin"/>
      </w:r>
      <w:r>
        <w:instrText xml:space="preserve"> REF _Ref167021257 \r \h  \* MERGEFORMAT </w:instrText>
      </w:r>
      <w:r>
        <w:fldChar w:fldCharType="separate"/>
      </w:r>
      <w:r w:rsidR="00761013">
        <w:t>5</w:t>
      </w:r>
      <w:r>
        <w:fldChar w:fldCharType="end"/>
      </w:r>
      <w:r>
        <w:t>]. Таким образом можно сделать полностью логичный вывод, что анализ материальных источников в контексте использования психоисторической методологии, в частности анализа групповых фантазий, (до нас дошла не только одна скульптура Асклепия, в том числе и монеты с его изображением, а также вотивные рельефы) может позволить учёным совершать различные психологические заключения о мировоззрении древних греков, а так же о их уровне развития в различных областях.</w:t>
      </w:r>
    </w:p>
    <w:p w14:paraId="5DABEA70" w14:textId="77777777" w:rsidR="00BC561C" w:rsidRDefault="00BC561C" w:rsidP="00C17197">
      <w:pPr>
        <w:pStyle w:val="7"/>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350"/>
      </w:tblGrid>
      <w:tr w:rsidR="00BC561C" w14:paraId="541FA93A" w14:textId="77777777" w:rsidTr="00BC561C">
        <w:tc>
          <w:tcPr>
            <w:tcW w:w="4643" w:type="dxa"/>
          </w:tcPr>
          <w:p w14:paraId="7380BD79" w14:textId="0D7AE556" w:rsidR="00BC561C" w:rsidRDefault="00BC561C" w:rsidP="00C17197">
            <w:pPr>
              <w:pStyle w:val="7"/>
              <w:ind w:firstLine="0"/>
            </w:pPr>
            <w:r>
              <w:rPr>
                <w:noProof/>
                <w:lang w:eastAsia="ru-RU"/>
              </w:rPr>
              <w:drawing>
                <wp:inline distT="0" distB="0" distL="0" distR="0" wp14:anchorId="3EBCB9EE" wp14:editId="6935C74F">
                  <wp:extent cx="2860158" cy="49586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30000" r="19394" b="343"/>
                          <a:stretch>
                            <a:fillRect/>
                          </a:stretch>
                        </pic:blipFill>
                        <pic:spPr bwMode="auto">
                          <a:xfrm>
                            <a:off x="0" y="0"/>
                            <a:ext cx="2860330" cy="4958951"/>
                          </a:xfrm>
                          <a:prstGeom prst="rect">
                            <a:avLst/>
                          </a:prstGeom>
                          <a:noFill/>
                          <a:ln>
                            <a:noFill/>
                          </a:ln>
                        </pic:spPr>
                      </pic:pic>
                    </a:graphicData>
                  </a:graphic>
                </wp:inline>
              </w:drawing>
            </w:r>
          </w:p>
        </w:tc>
        <w:tc>
          <w:tcPr>
            <w:tcW w:w="4643" w:type="dxa"/>
            <w:vAlign w:val="bottom"/>
          </w:tcPr>
          <w:p w14:paraId="45B05D89" w14:textId="77777777" w:rsidR="00BC561C" w:rsidRDefault="00BC561C" w:rsidP="00BC561C">
            <w:pPr>
              <w:pStyle w:val="7"/>
              <w:ind w:firstLine="0"/>
              <w:jc w:val="left"/>
              <w:rPr>
                <w:sz w:val="24"/>
                <w:szCs w:val="24"/>
              </w:rPr>
            </w:pPr>
            <w:r w:rsidRPr="00BC561C">
              <w:rPr>
                <w:sz w:val="24"/>
                <w:szCs w:val="24"/>
              </w:rPr>
              <w:t>Рис. 1. Асклепий. Мрамор. По греческому оригиналу третьей четверти V в. до н.э.</w:t>
            </w:r>
          </w:p>
          <w:p w14:paraId="2CF1D25B" w14:textId="786DE09B" w:rsidR="002E4BD4" w:rsidRPr="00BC561C" w:rsidRDefault="002E4BD4" w:rsidP="00BC561C">
            <w:pPr>
              <w:pStyle w:val="7"/>
              <w:ind w:firstLine="0"/>
              <w:jc w:val="left"/>
              <w:rPr>
                <w:sz w:val="24"/>
                <w:szCs w:val="24"/>
              </w:rPr>
            </w:pPr>
          </w:p>
        </w:tc>
      </w:tr>
    </w:tbl>
    <w:p w14:paraId="1A011C4D" w14:textId="77777777" w:rsidR="002E4BD4" w:rsidRDefault="002E4BD4" w:rsidP="00C17197">
      <w:pPr>
        <w:pStyle w:val="7"/>
      </w:pPr>
    </w:p>
    <w:p w14:paraId="316C9620" w14:textId="2EAAE322" w:rsidR="00C17197" w:rsidRDefault="00C17197" w:rsidP="00C17197">
      <w:pPr>
        <w:pStyle w:val="7"/>
      </w:pPr>
      <w:r>
        <w:lastRenderedPageBreak/>
        <w:t>Вопрос о методе моделирования особенно в контексте анализа материальной культуры несёт уже куда более сложный характер. Так анализируя материальную культуру древних греков, не забывая об социально историческом контексте её формирования мы можем вспомнить всё того же К. Юнга, только теперь прибегая к цитированию его другого важного для аналитической психологии и психоистории труда – «Психологические типы». Так «Античный мир благоволил лишь к высшему классу, поощряя в нём индивидуальное развитие ценою подавления большинства простого народа (илотов, рабов)» [</w:t>
      </w:r>
      <w:r>
        <w:fldChar w:fldCharType="begin"/>
      </w:r>
      <w:r>
        <w:instrText xml:space="preserve"> REF _Ref166503376 \r \h  \* MERGEFORMAT </w:instrText>
      </w:r>
      <w:r>
        <w:fldChar w:fldCharType="separate"/>
      </w:r>
      <w:r w:rsidR="00761013">
        <w:t>8</w:t>
      </w:r>
      <w:r>
        <w:fldChar w:fldCharType="end"/>
      </w:r>
      <w:r>
        <w:t>, с. 80]. Такую культуру Юнг называл «индивидуальной», поскольку усилия большинства населения возлагались на то, чтобы элита могла иметь время на создание высокой индивидуальной культуры, которая главным образом и характеризовала древнегреческую жизнь. Продолжая использование метода моделирования на основании юнгианского анализа, можно выделять условные этапы на подобии тех, которые были у американского психоисторика Л. де Моса, только с особым акцентом на применении методов психоистории в контексте изучения материальной культуры [</w:t>
      </w:r>
      <w:r>
        <w:rPr>
          <w:lang w:val="en-US"/>
        </w:rPr>
        <w:fldChar w:fldCharType="begin"/>
      </w:r>
      <w:r w:rsidRPr="00541980">
        <w:instrText xml:space="preserve"> </w:instrText>
      </w:r>
      <w:r>
        <w:rPr>
          <w:lang w:val="en-US"/>
        </w:rPr>
        <w:instrText>REF</w:instrText>
      </w:r>
      <w:r>
        <w:instrText xml:space="preserve"> _</w:instrText>
      </w:r>
      <w:r>
        <w:rPr>
          <w:lang w:val="en-US"/>
        </w:rPr>
        <w:instrText>Ref</w:instrText>
      </w:r>
      <w:r>
        <w:instrText>166188621 \</w:instrText>
      </w:r>
      <w:r>
        <w:rPr>
          <w:lang w:val="en-US"/>
        </w:rPr>
        <w:instrText>r</w:instrText>
      </w:r>
      <w:r>
        <w:instrText xml:space="preserve"> \</w:instrText>
      </w:r>
      <w:r>
        <w:rPr>
          <w:lang w:val="en-US"/>
        </w:rPr>
        <w:instrText>h</w:instrText>
      </w:r>
      <w:r w:rsidRPr="00541980">
        <w:instrText xml:space="preserve">  \* </w:instrText>
      </w:r>
      <w:r>
        <w:rPr>
          <w:lang w:val="en-US"/>
        </w:rPr>
        <w:instrText>MERGEFORMAT</w:instrText>
      </w:r>
      <w:r w:rsidRPr="00541980">
        <w:instrText xml:space="preserve"> </w:instrText>
      </w:r>
      <w:r>
        <w:rPr>
          <w:lang w:val="en-US"/>
        </w:rPr>
      </w:r>
      <w:r>
        <w:rPr>
          <w:lang w:val="en-US"/>
        </w:rPr>
        <w:fldChar w:fldCharType="separate"/>
      </w:r>
      <w:r w:rsidR="00761013" w:rsidRPr="00761013">
        <w:t>6</w:t>
      </w:r>
      <w:r>
        <w:rPr>
          <w:lang w:val="en-US"/>
        </w:rPr>
        <w:fldChar w:fldCharType="end"/>
      </w:r>
      <w:r>
        <w:rPr>
          <w:lang w:val="be-BY"/>
        </w:rPr>
        <w:t xml:space="preserve">, </w:t>
      </w:r>
      <w:r>
        <w:t>с. 39].</w:t>
      </w:r>
    </w:p>
    <w:p w14:paraId="2DC823D7" w14:textId="77777777" w:rsidR="00C17197" w:rsidRDefault="00C17197" w:rsidP="00C17197">
      <w:pPr>
        <w:pStyle w:val="7"/>
      </w:pPr>
      <w:r>
        <w:t>Социально-психологический подход хотя и используется чаще всего в контексте психобиографий и их сравнения друг с другом. Однако основной целью всё же будет являться выявление определённых мотиваций. То есть если вернуться к уже упомянутому нами раннее примеру про старика, который рисовал мандалы, то тут основной целью социально-психологического подхода будет являться именно выявление мотивации конкретных действий индивида. Понимание же конкретных действий индивида позволит нам углубить наше представление о творчестве, в частности в создании человеком материальной культуры.</w:t>
      </w:r>
    </w:p>
    <w:p w14:paraId="7213BD41" w14:textId="77777777" w:rsidR="00C17197" w:rsidRDefault="00C17197" w:rsidP="00C17197">
      <w:pPr>
        <w:pStyle w:val="7"/>
      </w:pPr>
      <w:r>
        <w:t>В заключение можно отметить, что необходимо проводить дальнейшие исследования в целях развития психоистории и её методологии, которая как было выяснено нами в проведённом исследовании может предоставить исследователям огромный методологический багаж, применение которого может позволить углубить наше представление как о психологии человека в разные эпохи, так и о психологических аспектах развития материальной культуры, что безусловно будет являться крайне прогрессивным толчком в развитии методологии исторического исследования.</w:t>
      </w:r>
    </w:p>
    <w:p w14:paraId="7A5051C2" w14:textId="77777777" w:rsidR="00C17197" w:rsidRDefault="00C17197" w:rsidP="00C17197">
      <w:pPr>
        <w:spacing w:after="0" w:line="240" w:lineRule="auto"/>
        <w:ind w:firstLine="709"/>
        <w:jc w:val="both"/>
        <w:rPr>
          <w:rFonts w:ascii="Times New Roman" w:hAnsi="Times New Roman" w:cs="Times New Roman"/>
          <w:sz w:val="28"/>
          <w:szCs w:val="28"/>
        </w:rPr>
      </w:pPr>
    </w:p>
    <w:p w14:paraId="5221306E" w14:textId="77777777" w:rsidR="00C17197" w:rsidRDefault="00C17197" w:rsidP="00C17197">
      <w:pPr>
        <w:spacing w:after="0" w:line="240" w:lineRule="auto"/>
        <w:ind w:firstLine="709"/>
        <w:jc w:val="both"/>
        <w:rPr>
          <w:rFonts w:ascii="Times New Roman" w:hAnsi="Times New Roman" w:cs="Times New Roman"/>
          <w:sz w:val="28"/>
          <w:szCs w:val="28"/>
        </w:rPr>
      </w:pPr>
    </w:p>
    <w:p w14:paraId="5E4BD9E1" w14:textId="20926B82"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06" w:name="_Ref166499082"/>
      <w:r>
        <w:rPr>
          <w:rFonts w:ascii="Times New Roman" w:hAnsi="Times New Roman" w:cs="Times New Roman"/>
          <w:sz w:val="24"/>
          <w:szCs w:val="24"/>
        </w:rPr>
        <w:t>Кун Н.</w:t>
      </w:r>
      <w:r w:rsidR="00BC561C">
        <w:rPr>
          <w:rFonts w:ascii="Times New Roman" w:hAnsi="Times New Roman" w:cs="Times New Roman"/>
          <w:sz w:val="24"/>
          <w:szCs w:val="24"/>
        </w:rPr>
        <w:t xml:space="preserve"> </w:t>
      </w:r>
      <w:r>
        <w:rPr>
          <w:rFonts w:ascii="Times New Roman" w:hAnsi="Times New Roman" w:cs="Times New Roman"/>
          <w:sz w:val="24"/>
          <w:szCs w:val="24"/>
        </w:rPr>
        <w:t>А. Легенды и мифы древней Греции. – Мн.: Народная асвета, 1989. – 462 с.</w:t>
      </w:r>
      <w:bookmarkEnd w:id="106"/>
    </w:p>
    <w:p w14:paraId="1EF2787D" w14:textId="5EA1B584"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07" w:name="_Ref166498685"/>
      <w:r>
        <w:rPr>
          <w:rFonts w:ascii="Times New Roman" w:hAnsi="Times New Roman" w:cs="Times New Roman"/>
          <w:sz w:val="24"/>
          <w:szCs w:val="24"/>
        </w:rPr>
        <w:t>Лосев А.</w:t>
      </w:r>
      <w:r w:rsidR="00BC561C">
        <w:rPr>
          <w:rFonts w:ascii="Times New Roman" w:hAnsi="Times New Roman" w:cs="Times New Roman"/>
          <w:sz w:val="24"/>
          <w:szCs w:val="24"/>
        </w:rPr>
        <w:t xml:space="preserve"> </w:t>
      </w:r>
      <w:r>
        <w:rPr>
          <w:rFonts w:ascii="Times New Roman" w:hAnsi="Times New Roman" w:cs="Times New Roman"/>
          <w:sz w:val="24"/>
          <w:szCs w:val="24"/>
        </w:rPr>
        <w:t>Ф. Аристотель: Жизнь и смысл / А.</w:t>
      </w:r>
      <w:r w:rsidR="00BC561C">
        <w:rPr>
          <w:rFonts w:ascii="Times New Roman" w:hAnsi="Times New Roman" w:cs="Times New Roman"/>
          <w:sz w:val="24"/>
          <w:szCs w:val="24"/>
        </w:rPr>
        <w:t xml:space="preserve"> </w:t>
      </w:r>
      <w:r>
        <w:rPr>
          <w:rFonts w:ascii="Times New Roman" w:hAnsi="Times New Roman" w:cs="Times New Roman"/>
          <w:sz w:val="24"/>
          <w:szCs w:val="24"/>
        </w:rPr>
        <w:t>Ф. Лосев, А.</w:t>
      </w:r>
      <w:r w:rsidR="00BC561C">
        <w:rPr>
          <w:rFonts w:ascii="Times New Roman" w:hAnsi="Times New Roman" w:cs="Times New Roman"/>
          <w:sz w:val="24"/>
          <w:szCs w:val="24"/>
        </w:rPr>
        <w:t xml:space="preserve"> </w:t>
      </w:r>
      <w:r>
        <w:rPr>
          <w:rFonts w:ascii="Times New Roman" w:hAnsi="Times New Roman" w:cs="Times New Roman"/>
          <w:sz w:val="24"/>
          <w:szCs w:val="24"/>
        </w:rPr>
        <w:t>А. Тахо-Годи. – М.: Дет. лит., 1982. – 286 с.</w:t>
      </w:r>
      <w:bookmarkEnd w:id="107"/>
    </w:p>
    <w:p w14:paraId="57050E87" w14:textId="7CBD6AA8"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08" w:name="_Ref166189314"/>
      <w:r>
        <w:rPr>
          <w:rFonts w:ascii="Times New Roman" w:hAnsi="Times New Roman" w:cs="Times New Roman"/>
          <w:sz w:val="24"/>
          <w:szCs w:val="24"/>
          <w:lang w:val="be-BY"/>
        </w:rPr>
        <w:lastRenderedPageBreak/>
        <w:t>Сидорцов, В.</w:t>
      </w:r>
      <w:r w:rsidR="00BC561C">
        <w:rPr>
          <w:rFonts w:ascii="Times New Roman" w:hAnsi="Times New Roman" w:cs="Times New Roman"/>
          <w:sz w:val="24"/>
          <w:szCs w:val="24"/>
          <w:lang w:val="be-BY"/>
        </w:rPr>
        <w:t xml:space="preserve"> </w:t>
      </w:r>
      <w:r>
        <w:rPr>
          <w:rFonts w:ascii="Times New Roman" w:hAnsi="Times New Roman" w:cs="Times New Roman"/>
          <w:sz w:val="24"/>
          <w:szCs w:val="24"/>
          <w:lang w:val="be-BY"/>
        </w:rPr>
        <w:t>Н. Методология истории : Курс лекций / В. Н. Сидорцов. – Минск : БГУ, 2010. – 207 с.</w:t>
      </w:r>
      <w:bookmarkEnd w:id="108"/>
    </w:p>
    <w:p w14:paraId="780B36F1" w14:textId="7FCD6BDA"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09" w:name="_Ref166431126"/>
      <w:r>
        <w:rPr>
          <w:rFonts w:ascii="Times New Roman" w:hAnsi="Times New Roman" w:cs="Times New Roman"/>
          <w:sz w:val="24"/>
          <w:szCs w:val="24"/>
          <w:lang w:val="be-BY"/>
        </w:rPr>
        <w:t xml:space="preserve">Фрейд, З. Психология масс и анализ человеческого Я / Зигмунд Фрейд ; </w:t>
      </w:r>
      <w:r>
        <w:rPr>
          <w:rFonts w:ascii="Times New Roman" w:hAnsi="Times New Roman" w:cs="Times New Roman"/>
          <w:sz w:val="24"/>
          <w:szCs w:val="24"/>
        </w:rPr>
        <w:t>[перевод с немецкого Я. Когана]. – Москва : Эскимо, 2024. – 224 с.</w:t>
      </w:r>
      <w:bookmarkEnd w:id="109"/>
    </w:p>
    <w:p w14:paraId="6147BCF3" w14:textId="0424C6CF"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10" w:name="_Ref167021257"/>
      <w:r>
        <w:rPr>
          <w:rFonts w:ascii="Times New Roman" w:hAnsi="Times New Roman" w:cs="Times New Roman"/>
          <w:sz w:val="24"/>
          <w:szCs w:val="24"/>
          <w:lang w:val="be-BY"/>
        </w:rPr>
        <w:t>Штегер Ф. Асклепий через столития. Введение в религиозный культ исцеления / Ф. Штегер, пер. с нем. О.</w:t>
      </w:r>
      <w:r w:rsidR="00BC561C">
        <w:rPr>
          <w:rFonts w:ascii="Times New Roman" w:hAnsi="Times New Roman" w:cs="Times New Roman"/>
          <w:sz w:val="24"/>
          <w:szCs w:val="24"/>
          <w:lang w:val="be-BY"/>
        </w:rPr>
        <w:t> </w:t>
      </w:r>
      <w:r>
        <w:rPr>
          <w:rFonts w:ascii="Times New Roman" w:hAnsi="Times New Roman" w:cs="Times New Roman"/>
          <w:sz w:val="24"/>
          <w:szCs w:val="24"/>
          <w:lang w:val="be-BY"/>
        </w:rPr>
        <w:t xml:space="preserve">А. Джарман </w:t>
      </w:r>
      <w:r>
        <w:rPr>
          <w:rFonts w:ascii="Times New Roman" w:hAnsi="Times New Roman" w:cs="Times New Roman"/>
          <w:sz w:val="24"/>
          <w:szCs w:val="24"/>
        </w:rPr>
        <w:t>[Электронный ресурс]. – Режим доступа:</w:t>
      </w:r>
      <w:r>
        <w:t xml:space="preserve"> </w:t>
      </w:r>
      <w:r>
        <w:rPr>
          <w:rFonts w:ascii="Times New Roman" w:hAnsi="Times New Roman" w:cs="Times New Roman"/>
          <w:sz w:val="24"/>
          <w:szCs w:val="24"/>
        </w:rPr>
        <w:t>https://cyberleninka.ru/article/n/asklepiy-cherez-stoletiya-vvedenie-v-religioznyy-kult-istseleniya/viewer. – Дата доступа: 19.05.2024.</w:t>
      </w:r>
      <w:bookmarkEnd w:id="110"/>
    </w:p>
    <w:p w14:paraId="1828AACB" w14:textId="7C0FC5D0"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11" w:name="_Ref166188621"/>
      <w:r>
        <w:rPr>
          <w:rFonts w:ascii="Times New Roman" w:hAnsi="Times New Roman" w:cs="Times New Roman"/>
          <w:sz w:val="24"/>
          <w:szCs w:val="24"/>
          <w:lang w:val="be-BY"/>
        </w:rPr>
        <w:t>Шутова О</w:t>
      </w:r>
      <w:r>
        <w:rPr>
          <w:rFonts w:ascii="Times New Roman" w:hAnsi="Times New Roman" w:cs="Times New Roman"/>
          <w:sz w:val="24"/>
          <w:szCs w:val="24"/>
        </w:rPr>
        <w:t>.</w:t>
      </w:r>
      <w:r w:rsidR="00BC561C">
        <w:rPr>
          <w:rFonts w:ascii="Times New Roman" w:hAnsi="Times New Roman" w:cs="Times New Roman"/>
          <w:sz w:val="24"/>
          <w:szCs w:val="24"/>
        </w:rPr>
        <w:t xml:space="preserve"> </w:t>
      </w:r>
      <w:r>
        <w:rPr>
          <w:rFonts w:ascii="Times New Roman" w:hAnsi="Times New Roman" w:cs="Times New Roman"/>
          <w:sz w:val="24"/>
          <w:szCs w:val="24"/>
        </w:rPr>
        <w:t>М. Психоистория: школа и методы: Учеб пособие / под ред. В.</w:t>
      </w:r>
      <w:r w:rsidR="00BC561C">
        <w:rPr>
          <w:rFonts w:ascii="Times New Roman" w:hAnsi="Times New Roman" w:cs="Times New Roman"/>
          <w:sz w:val="24"/>
          <w:szCs w:val="24"/>
        </w:rPr>
        <w:t> </w:t>
      </w:r>
      <w:r>
        <w:rPr>
          <w:rFonts w:ascii="Times New Roman" w:hAnsi="Times New Roman" w:cs="Times New Roman"/>
          <w:sz w:val="24"/>
          <w:szCs w:val="24"/>
        </w:rPr>
        <w:t>Н. Сидорцова. – Мн.: ЗАО «Веды», 1997. – 176 с.</w:t>
      </w:r>
      <w:bookmarkEnd w:id="111"/>
    </w:p>
    <w:p w14:paraId="6B2CF287" w14:textId="61806E21"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12" w:name="_Ref166512121"/>
      <w:r>
        <w:rPr>
          <w:rFonts w:ascii="Times New Roman" w:hAnsi="Times New Roman" w:cs="Times New Roman"/>
          <w:sz w:val="24"/>
          <w:szCs w:val="24"/>
          <w:lang w:val="be-BY"/>
        </w:rPr>
        <w:t xml:space="preserve">Юнг, </w:t>
      </w:r>
      <w:r w:rsidR="00BC561C">
        <w:rPr>
          <w:rFonts w:ascii="Times New Roman" w:hAnsi="Times New Roman" w:cs="Times New Roman"/>
          <w:sz w:val="24"/>
          <w:szCs w:val="24"/>
          <w:lang w:val="be-BY"/>
        </w:rPr>
        <w:t>К. Г</w:t>
      </w:r>
      <w:r>
        <w:rPr>
          <w:rFonts w:ascii="Times New Roman" w:hAnsi="Times New Roman" w:cs="Times New Roman"/>
          <w:sz w:val="24"/>
          <w:szCs w:val="24"/>
          <w:lang w:val="be-BY"/>
        </w:rPr>
        <w:t xml:space="preserve">. Архетипы и коллективное бессознательное / Карл Густав Юнг ; </w:t>
      </w:r>
      <w:r>
        <w:rPr>
          <w:rFonts w:ascii="Times New Roman" w:hAnsi="Times New Roman" w:cs="Times New Roman"/>
          <w:sz w:val="24"/>
          <w:szCs w:val="24"/>
        </w:rPr>
        <w:t>[Перевод А. Чечиной]. – Москва : Издательство АСТ, 2024. – 496 с.</w:t>
      </w:r>
      <w:bookmarkEnd w:id="112"/>
    </w:p>
    <w:p w14:paraId="36611B81" w14:textId="330C5B1A" w:rsidR="00C17197" w:rsidRDefault="00C17197" w:rsidP="00C17197">
      <w:pPr>
        <w:pStyle w:val="a7"/>
        <w:numPr>
          <w:ilvl w:val="0"/>
          <w:numId w:val="46"/>
        </w:numPr>
        <w:spacing w:after="0" w:line="240" w:lineRule="auto"/>
        <w:ind w:left="0" w:firstLine="709"/>
        <w:jc w:val="both"/>
        <w:rPr>
          <w:rFonts w:ascii="Times New Roman" w:hAnsi="Times New Roman" w:cs="Times New Roman"/>
          <w:sz w:val="24"/>
          <w:szCs w:val="24"/>
          <w:lang w:val="be-BY"/>
        </w:rPr>
      </w:pPr>
      <w:bookmarkStart w:id="113" w:name="_Ref166503376"/>
      <w:r>
        <w:rPr>
          <w:rFonts w:ascii="Times New Roman" w:hAnsi="Times New Roman" w:cs="Times New Roman"/>
          <w:sz w:val="24"/>
          <w:szCs w:val="24"/>
        </w:rPr>
        <w:t xml:space="preserve">Юнг, </w:t>
      </w:r>
      <w:r w:rsidR="00BC561C">
        <w:rPr>
          <w:rFonts w:ascii="Times New Roman" w:hAnsi="Times New Roman" w:cs="Times New Roman"/>
          <w:sz w:val="24"/>
          <w:szCs w:val="24"/>
        </w:rPr>
        <w:t>К. Г.</w:t>
      </w:r>
      <w:r>
        <w:rPr>
          <w:rFonts w:ascii="Times New Roman" w:hAnsi="Times New Roman" w:cs="Times New Roman"/>
          <w:sz w:val="24"/>
          <w:szCs w:val="24"/>
        </w:rPr>
        <w:t xml:space="preserve"> Психологические типы / Карл Густав Юнг. – 2-е изд. – Минск : Харвест, 2017. – 528 с.</w:t>
      </w:r>
      <w:bookmarkEnd w:id="113"/>
    </w:p>
    <w:p w14:paraId="40B5C419" w14:textId="77777777" w:rsidR="00C17197" w:rsidRDefault="00C17197" w:rsidP="00E25B19">
      <w:pPr>
        <w:spacing w:after="0" w:line="240" w:lineRule="auto"/>
        <w:ind w:firstLine="709"/>
        <w:jc w:val="both"/>
        <w:rPr>
          <w:rFonts w:ascii="Times New Roman" w:hAnsi="Times New Roman"/>
          <w:sz w:val="28"/>
          <w:szCs w:val="24"/>
        </w:rPr>
      </w:pPr>
    </w:p>
    <w:p w14:paraId="63675F74" w14:textId="77777777" w:rsidR="00747052" w:rsidRPr="00EF68E3" w:rsidRDefault="000C69B3" w:rsidP="00747052">
      <w:pPr>
        <w:pStyle w:val="Standard"/>
        <w:jc w:val="center"/>
        <w:rPr>
          <w:rFonts w:ascii="Times New Roman" w:hAnsi="Times New Roman" w:cs="Times New Roman"/>
          <w:i/>
          <w:sz w:val="28"/>
          <w:szCs w:val="28"/>
          <w:lang w:val="be-BY"/>
        </w:rPr>
      </w:pPr>
      <w:hyperlink w:anchor="_СОДЕРЖАНИЕ" w:history="1">
        <w:r w:rsidR="00747052" w:rsidRPr="00EF68E3">
          <w:rPr>
            <w:rStyle w:val="a9"/>
            <w:rFonts w:ascii="Times New Roman" w:hAnsi="Times New Roman" w:cs="Times New Roman"/>
            <w:i/>
            <w:color w:val="auto"/>
            <w:sz w:val="28"/>
            <w:szCs w:val="28"/>
            <w:u w:val="none"/>
            <w:lang w:val="be-BY"/>
          </w:rPr>
          <w:t>К содержанию</w:t>
        </w:r>
      </w:hyperlink>
    </w:p>
    <w:p w14:paraId="3D52EF94" w14:textId="31BDC421" w:rsidR="005F4D06" w:rsidRDefault="005F4D06" w:rsidP="00E25B19">
      <w:pPr>
        <w:spacing w:after="0" w:line="240" w:lineRule="auto"/>
        <w:jc w:val="both"/>
        <w:rPr>
          <w:rFonts w:ascii="Times New Roman" w:hAnsi="Times New Roman" w:cs="Times New Roman"/>
          <w:sz w:val="28"/>
          <w:szCs w:val="28"/>
        </w:rPr>
      </w:pPr>
    </w:p>
    <w:p w14:paraId="7C9D8872" w14:textId="77777777" w:rsidR="00564468" w:rsidRDefault="00564468" w:rsidP="00E25B19">
      <w:pPr>
        <w:spacing w:after="0" w:line="240" w:lineRule="auto"/>
        <w:jc w:val="both"/>
        <w:rPr>
          <w:rFonts w:ascii="Times New Roman" w:hAnsi="Times New Roman" w:cs="Times New Roman"/>
          <w:sz w:val="28"/>
          <w:szCs w:val="28"/>
        </w:rPr>
      </w:pPr>
    </w:p>
    <w:p w14:paraId="1E1D7B04" w14:textId="77777777" w:rsidR="00BC561C" w:rsidRDefault="00BC561C" w:rsidP="00BC561C">
      <w:pPr>
        <w:pStyle w:val="12"/>
      </w:pPr>
      <w:r>
        <w:t>УДК 329.8</w:t>
      </w:r>
    </w:p>
    <w:p w14:paraId="3274DB4A" w14:textId="77777777" w:rsidR="00BC561C" w:rsidRDefault="00BC561C" w:rsidP="00BC561C">
      <w:pPr>
        <w:pStyle w:val="14"/>
      </w:pPr>
      <w:bookmarkStart w:id="114" w:name="_Toc181894121"/>
      <w:r>
        <w:t>Д.А. КУЛИКОВИЧ, И.С. ЧЕРНОВА</w:t>
      </w:r>
      <w:bookmarkEnd w:id="114"/>
      <w:r>
        <w:t xml:space="preserve"> </w:t>
      </w:r>
    </w:p>
    <w:p w14:paraId="6C050A9D" w14:textId="50E9CBE9" w:rsidR="00BC561C" w:rsidRDefault="00BC561C" w:rsidP="00BC561C">
      <w:pPr>
        <w:pStyle w:val="3"/>
        <w:rPr>
          <w:b/>
          <w:bCs/>
        </w:rPr>
      </w:pPr>
      <w:r>
        <w:t>Брест, БрГУ имени А.С. Пушкина</w:t>
      </w:r>
    </w:p>
    <w:p w14:paraId="187511CA" w14:textId="607C1184" w:rsidR="00BC561C" w:rsidRDefault="00BC561C" w:rsidP="00BC561C">
      <w:pPr>
        <w:pStyle w:val="4"/>
      </w:pPr>
      <w:r>
        <w:t>Научный руководитель: Е.В. Скакун, канд. полит. наук, доцент</w:t>
      </w:r>
    </w:p>
    <w:p w14:paraId="5E382376" w14:textId="77777777" w:rsidR="00BC561C" w:rsidRDefault="00BC561C" w:rsidP="00BC561C">
      <w:pPr>
        <w:pStyle w:val="7"/>
        <w:rPr>
          <w:lang w:val="be-BY"/>
        </w:rPr>
      </w:pPr>
    </w:p>
    <w:p w14:paraId="2AB53EBC" w14:textId="77777777" w:rsidR="00BC561C" w:rsidRDefault="00BC561C" w:rsidP="00BC561C">
      <w:pPr>
        <w:pStyle w:val="5"/>
      </w:pPr>
      <w:r>
        <w:t>КОНЦЕПЦИЯ ВСЕОХВАТЫВАЮЩИХ ПАРТИЙ (CATCH-ALL PARTIES) ОТТО КИРХХАЙМЕРА</w:t>
      </w:r>
    </w:p>
    <w:p w14:paraId="0634761C" w14:textId="77777777" w:rsidR="00BC561C" w:rsidRDefault="00BC561C" w:rsidP="00BC561C">
      <w:pPr>
        <w:pStyle w:val="7"/>
      </w:pPr>
    </w:p>
    <w:p w14:paraId="25A3D269" w14:textId="77777777" w:rsidR="00BC561C" w:rsidRDefault="00BC561C" w:rsidP="00BC561C">
      <w:pPr>
        <w:pStyle w:val="6"/>
      </w:pPr>
      <w:r>
        <w:t xml:space="preserve">На международной арене во второй половине двадцатого века произошли существенные изменения в партийно-политических системах многих стран. Данная статья имеет свой целью популяризировать концепт, используемый преимущественно в англоязычной литературе как </w:t>
      </w:r>
      <w:r>
        <w:rPr>
          <w:lang w:val="en-US"/>
        </w:rPr>
        <w:t>catch</w:t>
      </w:r>
      <w:r>
        <w:t>-</w:t>
      </w:r>
      <w:r>
        <w:rPr>
          <w:lang w:val="en-US"/>
        </w:rPr>
        <w:t>all</w:t>
      </w:r>
      <w:r w:rsidRPr="0097408C">
        <w:rPr>
          <w:lang w:val="ru-RU"/>
        </w:rPr>
        <w:t xml:space="preserve"> </w:t>
      </w:r>
      <w:r>
        <w:rPr>
          <w:lang w:val="en-US"/>
        </w:rPr>
        <w:t>parties</w:t>
      </w:r>
      <w:r>
        <w:t xml:space="preserve"> (всеохватывающие партии). Были выделены социальные и политические предпосылки возникновения, характерные черты данного типа партий, показаны примеры, а также выявлена актуальность работы в условиях современности.</w:t>
      </w:r>
    </w:p>
    <w:p w14:paraId="18CBCF81" w14:textId="77777777" w:rsidR="00BC561C" w:rsidRDefault="00BC561C" w:rsidP="00BC561C">
      <w:pPr>
        <w:pStyle w:val="7"/>
      </w:pPr>
    </w:p>
    <w:p w14:paraId="5DE434AB" w14:textId="77777777" w:rsidR="00BC561C" w:rsidRDefault="00BC561C" w:rsidP="00BC561C">
      <w:pPr>
        <w:pStyle w:val="7"/>
      </w:pPr>
      <w:r>
        <w:t xml:space="preserve">Смело можно назвать 2024 год годом выборов. Прошли президентские выборы на Тайване, в Российской Федерации, Словакии, в Финляндии. Закончились </w:t>
      </w:r>
      <w:r>
        <w:rPr>
          <w:lang w:val="be-BY"/>
        </w:rPr>
        <w:t>парламентские выборы в Южной Корее и Республике Беларусь</w:t>
      </w:r>
      <w:r>
        <w:t>.</w:t>
      </w:r>
      <w:r>
        <w:rPr>
          <w:lang w:val="be-BY"/>
        </w:rPr>
        <w:t xml:space="preserve"> Осенью ожидаются выборы президента Соединённых Штатов Америки</w:t>
      </w:r>
      <w:r>
        <w:t>,</w:t>
      </w:r>
      <w:r>
        <w:rPr>
          <w:lang w:val="be-BY"/>
        </w:rPr>
        <w:t xml:space="preserve"> а также выборы </w:t>
      </w:r>
      <w:r>
        <w:t xml:space="preserve">депутатов  </w:t>
      </w:r>
      <w:r>
        <w:rPr>
          <w:lang w:val="be-BY"/>
        </w:rPr>
        <w:t>в Европарламент</w:t>
      </w:r>
      <w:r>
        <w:t xml:space="preserve">. Партии по-прежнему играют важную роль в политической сфере общества. Знание типологии партий позволяет повысить уровень политической грамотности и является важным фундаментом для осмысления реальной картины современного мира. </w:t>
      </w:r>
    </w:p>
    <w:p w14:paraId="16C575CA" w14:textId="2043AEC8" w:rsidR="00BC561C" w:rsidRDefault="00BC561C" w:rsidP="00BC561C">
      <w:pPr>
        <w:pStyle w:val="7"/>
      </w:pPr>
      <w:r>
        <w:lastRenderedPageBreak/>
        <w:t xml:space="preserve">Во второй половине </w:t>
      </w:r>
      <w:r>
        <w:rPr>
          <w:lang w:val="en-US"/>
        </w:rPr>
        <w:t>XX</w:t>
      </w:r>
      <w:r>
        <w:t xml:space="preserve"> века на международной арене происходят значительные изменения в деятельности политических партий. Партийная эволюция привела к необходимости теоретизации произошедших изменений.</w:t>
      </w:r>
      <w:r>
        <w:rPr>
          <w:lang w:val="be-BY"/>
        </w:rPr>
        <w:t xml:space="preserve"> Это привело к</w:t>
      </w:r>
      <w:r>
        <w:t xml:space="preserve"> появлению «всеядных», или всеохватных, народных партий (</w:t>
      </w:r>
      <w:r>
        <w:rPr>
          <w:rFonts w:eastAsia="Times New Roman"/>
          <w:lang w:eastAsia="ru-RU"/>
        </w:rPr>
        <w:t>Volksparteien или catch – all parties</w:t>
      </w:r>
      <w:r>
        <w:t xml:space="preserve">), которые предложил в 1960-х гг. Отто Кирххаймер. Понятие универсальных партий ввёл британский политолог Ф. </w:t>
      </w:r>
      <w:r>
        <w:rPr>
          <w:lang w:val="be-BY"/>
        </w:rPr>
        <w:t>Эпстайн</w:t>
      </w:r>
      <w:r>
        <w:t>. Данный тип партий встал в ряд к уже известной классификации Мориса Дюверже при делении партий на «массовые» и «кадровые». Целью появления нового типа политических партий явилось отражение возникших трансформаций в партийной организации ряда государств Европы. В ряде случаев используются сходные по смыслу названия: «партии-хватай-всех», «партии притяжения», «зонтичные партии», «универсальные партии» и прочие. Главной чертой «всеядных» партий является размывание идеологических контуров: такие партии ищут голоса где угодно, отказываясь от каких бы то ни было специализированных подходов (классовых, религиозных и т.д.) [</w:t>
      </w:r>
      <w:r>
        <w:fldChar w:fldCharType="begin"/>
      </w:r>
      <w:r>
        <w:instrText xml:space="preserve"> </w:instrText>
      </w:r>
      <w:r>
        <w:rPr>
          <w:lang w:val="en-US"/>
        </w:rPr>
        <w:instrText>REF</w:instrText>
      </w:r>
      <w:r>
        <w:instrText xml:space="preserve"> _</w:instrText>
      </w:r>
      <w:r>
        <w:rPr>
          <w:lang w:val="en-US"/>
        </w:rPr>
        <w:instrText>Ref</w:instrText>
      </w:r>
      <w:r>
        <w:instrText>166711066 \</w:instrText>
      </w:r>
      <w:r>
        <w:rPr>
          <w:lang w:val="en-US"/>
        </w:rPr>
        <w:instrText>r</w:instrText>
      </w:r>
      <w:r>
        <w:instrText xml:space="preserve"> \</w:instrText>
      </w:r>
      <w:r>
        <w:rPr>
          <w:lang w:val="en-US"/>
        </w:rPr>
        <w:instrText>h</w:instrText>
      </w:r>
      <w:r w:rsidRPr="0097408C">
        <w:instrText xml:space="preserve"> </w:instrText>
      </w:r>
      <w:r>
        <w:instrText xml:space="preserve"> \* MERGEFORMAT </w:instrText>
      </w:r>
      <w:r>
        <w:fldChar w:fldCharType="separate"/>
      </w:r>
      <w:r w:rsidR="00761013" w:rsidRPr="00761013">
        <w:t>1</w:t>
      </w:r>
      <w:r>
        <w:fldChar w:fldCharType="end"/>
      </w:r>
      <w:r>
        <w:t xml:space="preserve">, с.193]. </w:t>
      </w:r>
    </w:p>
    <w:p w14:paraId="30448EEA" w14:textId="77777777" w:rsidR="00BC561C" w:rsidRDefault="00BC561C" w:rsidP="00BC561C">
      <w:pPr>
        <w:pStyle w:val="7"/>
      </w:pPr>
      <w:r>
        <w:t>Для понимания феномена «всеядных» партий стоит выделить причины их возникновения:</w:t>
      </w:r>
    </w:p>
    <w:p w14:paraId="512B7A41" w14:textId="5F94EE6B" w:rsidR="00BC561C" w:rsidRDefault="00BC561C" w:rsidP="00BC561C">
      <w:pPr>
        <w:pStyle w:val="7"/>
      </w:pPr>
      <w:r>
        <w:t>а) переход к постиндустриальному обществу изменил социальную структуру, где профессиональные группы заменили классы как основу, обладающие специальными знаниями и навыками. Сейчас партии стремятся отражать интересы среднего класса в первую очередь, а затем бизнесменов, низших слоев и других категорий населения, в отличие от классических, когда партии представляли интересы конкретных классов, таких как рабочий класс и буржуазия [</w:t>
      </w:r>
      <w:r>
        <w:fldChar w:fldCharType="begin"/>
      </w:r>
      <w:r>
        <w:instrText xml:space="preserve"> </w:instrText>
      </w:r>
      <w:r>
        <w:rPr>
          <w:lang w:val="en-US"/>
        </w:rPr>
        <w:instrText>REF</w:instrText>
      </w:r>
      <w:r>
        <w:instrText xml:space="preserve"> _</w:instrText>
      </w:r>
      <w:r>
        <w:rPr>
          <w:lang w:val="en-US"/>
        </w:rPr>
        <w:instrText>Ref</w:instrText>
      </w:r>
      <w:r>
        <w:instrText>166711088 \</w:instrText>
      </w:r>
      <w:r>
        <w:rPr>
          <w:lang w:val="en-US"/>
        </w:rPr>
        <w:instrText>r</w:instrText>
      </w:r>
      <w:r>
        <w:instrText xml:space="preserve"> \</w:instrText>
      </w:r>
      <w:r>
        <w:rPr>
          <w:lang w:val="en-US"/>
        </w:rPr>
        <w:instrText>h</w:instrText>
      </w:r>
      <w:r w:rsidRPr="0097408C">
        <w:instrText xml:space="preserve"> </w:instrText>
      </w:r>
      <w:r>
        <w:instrText xml:space="preserve"> \* MERGEFORMAT </w:instrText>
      </w:r>
      <w:r>
        <w:fldChar w:fldCharType="separate"/>
      </w:r>
      <w:r w:rsidR="00761013" w:rsidRPr="00761013">
        <w:t>2</w:t>
      </w:r>
      <w:r>
        <w:fldChar w:fldCharType="end"/>
      </w:r>
      <w:r>
        <w:t>,</w:t>
      </w:r>
      <w:r>
        <w:rPr>
          <w:lang w:val="be-BY"/>
        </w:rPr>
        <w:t xml:space="preserve"> с.</w:t>
      </w:r>
      <w:r>
        <w:t xml:space="preserve"> 114];</w:t>
      </w:r>
    </w:p>
    <w:p w14:paraId="0BFDE1E3" w14:textId="6F8B6ED0" w:rsidR="00BC561C" w:rsidRDefault="00BC561C" w:rsidP="00BC561C">
      <w:pPr>
        <w:pStyle w:val="7"/>
      </w:pPr>
      <w:r>
        <w:t>б) изменения в ментальности избирателей стали ключевым фактором. Ранее преобладали коллективистские настроения, особенно среди рабочего класса и в профсоюзах. Однако рост индивидуализма и благосостояния привел к тому, что партии перестали прямо ассоциироваться с определенными социальными группами и начали претендовать на отражение интересов всех слоев общества [</w:t>
      </w:r>
      <w:r>
        <w:fldChar w:fldCharType="begin"/>
      </w:r>
      <w:r>
        <w:instrText xml:space="preserve"> REF _Ref166711088 \r \h  \* MERGEFORMAT </w:instrText>
      </w:r>
      <w:r>
        <w:fldChar w:fldCharType="separate"/>
      </w:r>
      <w:r w:rsidR="00761013">
        <w:t>2</w:t>
      </w:r>
      <w:r>
        <w:fldChar w:fldCharType="end"/>
      </w:r>
      <w:r>
        <w:t xml:space="preserve">, с. 114]; </w:t>
      </w:r>
    </w:p>
    <w:p w14:paraId="25CF85E0" w14:textId="77777777" w:rsidR="00BC561C" w:rsidRDefault="00BC561C" w:rsidP="00BC561C">
      <w:pPr>
        <w:pStyle w:val="7"/>
      </w:pPr>
      <w:r>
        <w:t>в) демонтаж в европейских государствах профашистских политических режимов, официальный запрет во многих западных странах ультраправых политических организаций, в частности, массовых фашистских и профашистских партий в ходе и после второй мировой войны;</w:t>
      </w:r>
    </w:p>
    <w:p w14:paraId="254FB5FF" w14:textId="77777777" w:rsidR="00BC561C" w:rsidRDefault="00BC561C" w:rsidP="00BC561C">
      <w:pPr>
        <w:pStyle w:val="7"/>
      </w:pPr>
      <w:r>
        <w:t xml:space="preserve">г) улучшение качества жизни потенциального электората коммунистических и социалистических партий способствовало усилению возникшего еще в первой трети ХХ в. широкого спектра центристских партийных идеологий, равно далеких как от ультраправых, так и от радикальных левых (включая коммунизм) политических взглядов. </w:t>
      </w:r>
      <w:r>
        <w:lastRenderedPageBreak/>
        <w:t>Центристские партии, отмечает Дюверже, лишь «ослабленное, смягченное, умеренное» проявление «левых» или «правых» партий. С одной стороны, возникновение и усиление после Второй мировой войны центристских партий способствовало превращению последних во «всеохватные». С другой стороны, поскольку «всякий центр по природе своей внутренне разорван», на долгий успех «всеохватным» партиям рассчитывать не приходилось [3, с.149].</w:t>
      </w:r>
    </w:p>
    <w:p w14:paraId="7E05C662" w14:textId="77777777" w:rsidR="00BC561C" w:rsidRDefault="00BC561C" w:rsidP="00BC561C">
      <w:pPr>
        <w:pStyle w:val="7"/>
      </w:pPr>
      <w:r>
        <w:t>В этих условиях и происходит переход ко «всеядным» партиям, которые не стремятся идеологически выразить интересы своих избирателей. Переход к «всеядным» партиям представляет собой конкурентное явление. Партия склонна приспосабливаться к удачной стратегии своего конкурента из-за надежды на выгоду или из-за страха проиграть в день выборов. И наоборот, чем выше убеждения в партии  в том, что благоприятные результаты конкурента были обусловлены лишь какими-то уникальными стечениями обстоятельств и что способность конкурентной партии преодолевать внутренние разногласия является временным явлением, тем меньше шансов на общее обращение и тем больше склонность держаться за лояльную, хотя и ограниченную, клиентуру [6, с. 188].</w:t>
      </w:r>
    </w:p>
    <w:p w14:paraId="3E989A22" w14:textId="532709A3" w:rsidR="00BC561C" w:rsidRDefault="00BC561C" w:rsidP="00BC561C">
      <w:pPr>
        <w:pStyle w:val="7"/>
      </w:pPr>
      <w:r>
        <w:t>«Всеядные» партия вносит свой вклад в разработку общих программ по выработке предпочтений в отношении внутренних действий. Эти программы могут носить прогностический характер, информируя общественность о вероятных конкретных событиях и общих тенденциях [</w:t>
      </w:r>
      <w:r>
        <w:fldChar w:fldCharType="begin"/>
      </w:r>
      <w:r>
        <w:instrText xml:space="preserve"> </w:instrText>
      </w:r>
      <w:r>
        <w:rPr>
          <w:lang w:val="en-US"/>
        </w:rPr>
        <w:instrText>REF</w:instrText>
      </w:r>
      <w:r>
        <w:instrText xml:space="preserve"> _</w:instrText>
      </w:r>
      <w:r>
        <w:rPr>
          <w:lang w:val="en-US"/>
        </w:rPr>
        <w:instrText>Ref</w:instrText>
      </w:r>
      <w:r>
        <w:instrText>166711088 \</w:instrText>
      </w:r>
      <w:r>
        <w:rPr>
          <w:lang w:val="en-US"/>
        </w:rPr>
        <w:instrText>r</w:instrText>
      </w:r>
      <w:r>
        <w:instrText xml:space="preserve"> \</w:instrText>
      </w:r>
      <w:r>
        <w:rPr>
          <w:lang w:val="en-US"/>
        </w:rPr>
        <w:instrText>h</w:instrText>
      </w:r>
      <w:r w:rsidRPr="0097408C">
        <w:instrText xml:space="preserve"> </w:instrText>
      </w:r>
      <w:r>
        <w:instrText xml:space="preserve"> \* MERGEFORMAT </w:instrText>
      </w:r>
      <w:r>
        <w:fldChar w:fldCharType="separate"/>
      </w:r>
      <w:r w:rsidR="00761013" w:rsidRPr="00761013">
        <w:t>2</w:t>
      </w:r>
      <w:r>
        <w:fldChar w:fldCharType="end"/>
      </w:r>
      <w:r>
        <w:t>, с. 197].</w:t>
      </w:r>
    </w:p>
    <w:p w14:paraId="7F5DDFFE" w14:textId="77777777" w:rsidR="00BC561C" w:rsidRDefault="00BC561C" w:rsidP="00BC561C">
      <w:pPr>
        <w:pStyle w:val="7"/>
      </w:pPr>
      <w:r>
        <w:t>Выделяют несколько характерных черт «всеядных партий»:</w:t>
      </w:r>
    </w:p>
    <w:p w14:paraId="4F6704B7" w14:textId="77777777" w:rsidR="00BC561C" w:rsidRDefault="00BC561C" w:rsidP="00BC561C">
      <w:pPr>
        <w:pStyle w:val="7"/>
      </w:pPr>
      <w:r>
        <w:t>– снижение идеологической направленности и доминирование краткосрочных обещаний;</w:t>
      </w:r>
    </w:p>
    <w:p w14:paraId="3E2CBA9F" w14:textId="77777777" w:rsidR="00BC561C" w:rsidRDefault="00BC561C" w:rsidP="00BC561C">
      <w:pPr>
        <w:pStyle w:val="7"/>
      </w:pPr>
      <w:r>
        <w:t>– радикальное устранение идеологических компонентов;</w:t>
      </w:r>
    </w:p>
    <w:p w14:paraId="55002CF1" w14:textId="77777777" w:rsidR="00BC561C" w:rsidRDefault="00BC561C" w:rsidP="00BC561C">
      <w:pPr>
        <w:pStyle w:val="7"/>
      </w:pPr>
      <w:r>
        <w:t>– укрепление позиций профессиональных политиков в партийном</w:t>
      </w:r>
    </w:p>
    <w:p w14:paraId="02C908D3" w14:textId="77777777" w:rsidR="00BC561C" w:rsidRDefault="00BC561C" w:rsidP="00BC561C">
      <w:pPr>
        <w:pStyle w:val="7"/>
      </w:pPr>
      <w:r>
        <w:t>руководстве;</w:t>
      </w:r>
    </w:p>
    <w:p w14:paraId="75643003" w14:textId="77777777" w:rsidR="00BC561C" w:rsidRDefault="00BC561C" w:rsidP="00BC561C">
      <w:pPr>
        <w:pStyle w:val="7"/>
      </w:pPr>
      <w:r>
        <w:t>– уменьшение роли рядовых членов партии. Успешность определяется не через количество состоящих в партии, а через реальную поддержку на выборах;</w:t>
      </w:r>
    </w:p>
    <w:p w14:paraId="1F92C720" w14:textId="77777777" w:rsidR="00BC561C" w:rsidRDefault="00BC561C" w:rsidP="00BC561C">
      <w:pPr>
        <w:pStyle w:val="7"/>
      </w:pPr>
      <w:r>
        <w:t>– электоральная стратегия, нацеленная на привлечение максимально широких слоев населения;</w:t>
      </w:r>
    </w:p>
    <w:p w14:paraId="5CEDCD8C" w14:textId="77777777" w:rsidR="00BC561C" w:rsidRDefault="00BC561C" w:rsidP="00BC561C">
      <w:pPr>
        <w:pStyle w:val="7"/>
      </w:pPr>
      <w:r>
        <w:t>– стремление наладить отношения с самыми разными группами интересов для финансовой и электоральной поддержки [7, с. 26-27].</w:t>
      </w:r>
    </w:p>
    <w:p w14:paraId="29F3532B" w14:textId="77777777" w:rsidR="00BC561C" w:rsidRDefault="00BC561C" w:rsidP="00BC561C">
      <w:pPr>
        <w:pStyle w:val="7"/>
      </w:pPr>
      <w:r>
        <w:t>Классическим примером всеядной партии принято считать партию первого президента Пятой республики, Шарля Де Голля «Союз за Новую Республику», созданную в 1958 году и ставшей доминирующей силой в 1962 году.</w:t>
      </w:r>
    </w:p>
    <w:p w14:paraId="76CA7441" w14:textId="77777777" w:rsidR="00BC561C" w:rsidRDefault="00BC561C" w:rsidP="00BC561C">
      <w:pPr>
        <w:pStyle w:val="7"/>
      </w:pPr>
      <w:r>
        <w:lastRenderedPageBreak/>
        <w:t>О. Кирххаймер, анализируя политические партии Германии имел в виду германский Христианско-демократический союз (ХДС). Еще более характерными примерами «разношерстных» партий являются американские партии республиканцев и демократов, а также весьма деидеологизированные социалистические партии — немецкие социал-демократы и британские лейбористы. Все они отличаются от массовых партий классического типа тем, что делают ставку на политические задачи и единство и не придают большого значения низовому составу, лишь бы обеспечить себе как можно более широкую социальную базу из представителей самых разных социальных классов и групп общества [5, с. 310].</w:t>
      </w:r>
    </w:p>
    <w:p w14:paraId="4FDAE76F" w14:textId="77777777" w:rsidR="00BC561C" w:rsidRDefault="00BC561C" w:rsidP="00BC561C">
      <w:pPr>
        <w:pStyle w:val="7"/>
      </w:pPr>
      <w:r>
        <w:t>Для таких партий прагматизм выше принципов, а политический маркетинг важнее повседневной работы с избирателем. Преобладание именно таких партий в современной политике, по-видимому, вполне подтверждает верность теорий электорального поведения, отталкивающихся от принципа рационального выбора,</w:t>
      </w:r>
      <w:r>
        <w:rPr>
          <w:b/>
          <w:bCs/>
        </w:rPr>
        <w:t xml:space="preserve"> </w:t>
      </w:r>
      <w:r>
        <w:t>— теорий,</w:t>
      </w:r>
      <w:r>
        <w:rPr>
          <w:b/>
          <w:bCs/>
        </w:rPr>
        <w:t xml:space="preserve"> </w:t>
      </w:r>
      <w:r>
        <w:t>с которыми в свое время выступили Йозеф Шумпетер и Энтони Даунс, которые изображали политиков как алчущих власти созданий, готовых занять любую политическую позицию, лишь бы добиться успеха на выборах [5, с. 311].</w:t>
      </w:r>
    </w:p>
    <w:p w14:paraId="1BED770D" w14:textId="2D0F2C3E" w:rsidR="00BC561C" w:rsidRDefault="00BC561C" w:rsidP="00BC561C">
      <w:pPr>
        <w:pStyle w:val="7"/>
      </w:pPr>
      <w:r>
        <w:t>Подводя итог, можно заявить о том, что «всеядные партии» по сути являются гибридами кадровых и массовых партий. С массовыми её объединяет упор на широкий электорат, а также связь с группами интересов, а с кадровыми – доминирование профессиональных политиков, персонализация партийного лидерства, а также снижение степени внутрипартийной активности [4, с.107].</w:t>
      </w:r>
    </w:p>
    <w:p w14:paraId="7FFCEC82" w14:textId="77777777" w:rsidR="00BC561C" w:rsidRDefault="00BC561C" w:rsidP="00BC561C">
      <w:pPr>
        <w:spacing w:after="0" w:line="240" w:lineRule="auto"/>
        <w:ind w:firstLineChars="125" w:firstLine="350"/>
        <w:jc w:val="both"/>
        <w:rPr>
          <w:rFonts w:ascii="Times New Roman" w:hAnsi="Times New Roman" w:cs="Times New Roman"/>
          <w:sz w:val="28"/>
          <w:szCs w:val="28"/>
        </w:rPr>
      </w:pPr>
    </w:p>
    <w:p w14:paraId="250A3FAC" w14:textId="77777777" w:rsidR="00BC561C" w:rsidRDefault="00BC561C" w:rsidP="00BC561C">
      <w:pPr>
        <w:pStyle w:val="8"/>
        <w:numPr>
          <w:ilvl w:val="0"/>
          <w:numId w:val="48"/>
        </w:numPr>
        <w:ind w:left="0" w:firstLine="709"/>
      </w:pPr>
      <w:bookmarkStart w:id="115" w:name="_Ref166711066"/>
      <w:r>
        <w:t xml:space="preserve">Голосов, Г. В. Сравнительная политология: учебник / Г. В. Голосов. – </w:t>
      </w:r>
      <w:r w:rsidRPr="00BC561C">
        <w:rPr>
          <w:rFonts w:eastAsia="Helvetica"/>
          <w:color w:val="222222"/>
          <w:shd w:val="clear" w:color="auto" w:fill="FFFFFF"/>
        </w:rPr>
        <w:t xml:space="preserve">Санкт-Петербург </w:t>
      </w:r>
      <w:r>
        <w:t>: Изд-во Европейского университета, 2018. – 462 с</w:t>
      </w:r>
      <w:bookmarkEnd w:id="115"/>
      <w:r>
        <w:t>.</w:t>
      </w:r>
    </w:p>
    <w:p w14:paraId="15397A7C" w14:textId="77777777" w:rsidR="00BC561C" w:rsidRDefault="00BC561C" w:rsidP="00BC561C">
      <w:pPr>
        <w:pStyle w:val="8"/>
        <w:numPr>
          <w:ilvl w:val="0"/>
          <w:numId w:val="48"/>
        </w:numPr>
        <w:ind w:left="0" w:firstLine="709"/>
      </w:pPr>
      <w:bookmarkStart w:id="116" w:name="_Ref166711088"/>
      <w:r>
        <w:t>Моргайлик, М. А. Проблема «всеядности» партий в историческом и современном контексте / М.А. Моргайлик // Казанская наука: сб. науч. статей. Выпуск 6. – Казань</w:t>
      </w:r>
      <w:r w:rsidRPr="00BC561C">
        <w:rPr>
          <w:rFonts w:eastAsia="SimSun"/>
        </w:rPr>
        <w:t xml:space="preserve">: Изд-во Казанский Издательский Дом, 2010. </w:t>
      </w:r>
      <w:r>
        <w:t>– С. 113 –118.</w:t>
      </w:r>
      <w:bookmarkEnd w:id="116"/>
    </w:p>
    <w:p w14:paraId="591CA815" w14:textId="77777777" w:rsidR="00BC561C" w:rsidRDefault="00BC561C" w:rsidP="00BC561C">
      <w:pPr>
        <w:pStyle w:val="8"/>
        <w:numPr>
          <w:ilvl w:val="0"/>
          <w:numId w:val="48"/>
        </w:numPr>
        <w:ind w:left="0" w:firstLine="709"/>
      </w:pPr>
      <w:bookmarkStart w:id="117" w:name="_Ref166711119"/>
      <w:r>
        <w:t xml:space="preserve">Семенова, В. Н. Трансформации политических субъектов в эпоху перехода от позднего модерна к постмодерну (на примере политических партий) / В. Н. Семенова // Вестник Гродненского государственного университета имени Янки Купалы. Серия 1. История и археология. Философия. Политология. – 2021. – № 1. – С. 147 – 156. </w:t>
      </w:r>
      <w:bookmarkEnd w:id="117"/>
    </w:p>
    <w:p w14:paraId="3B6920F2" w14:textId="77777777" w:rsidR="00BC561C" w:rsidRDefault="00BC561C" w:rsidP="00BC561C">
      <w:pPr>
        <w:pStyle w:val="8"/>
        <w:numPr>
          <w:ilvl w:val="0"/>
          <w:numId w:val="48"/>
        </w:numPr>
        <w:ind w:left="0" w:firstLine="709"/>
      </w:pPr>
      <w:bookmarkStart w:id="118" w:name="_Ref166711243"/>
      <w:bookmarkStart w:id="119" w:name="_Ref166711141"/>
      <w:r>
        <w:t>Спасский, Е. Н. Трансформация политических партий и их типологическая концептуализация: опыт западной партологии / Е. Н. Спаский // Журнал политической философии и социологии политики «Полития. Анализ. Хроника. Прогноз». – 2008. – №. 2. – С. 103 – 113.</w:t>
      </w:r>
      <w:bookmarkEnd w:id="118"/>
    </w:p>
    <w:p w14:paraId="4B21AC4B" w14:textId="77777777" w:rsidR="00BC561C" w:rsidRDefault="00BC561C" w:rsidP="00BC561C">
      <w:pPr>
        <w:pStyle w:val="8"/>
        <w:numPr>
          <w:ilvl w:val="0"/>
          <w:numId w:val="48"/>
        </w:numPr>
        <w:ind w:left="0" w:firstLine="709"/>
      </w:pPr>
      <w:r>
        <w:t xml:space="preserve">Хейвуд, Эндрю. Политология: Учебник для студентов вузов / Э. Хейвуд / Пер. с англ. под ред. Г. Г. Водолазова, В. Ю. Бельского. – </w:t>
      </w:r>
    </w:p>
    <w:p w14:paraId="65DBA4EB" w14:textId="77777777" w:rsidR="00BC561C" w:rsidRDefault="00BC561C" w:rsidP="00BC561C">
      <w:pPr>
        <w:pStyle w:val="8"/>
        <w:numPr>
          <w:ilvl w:val="0"/>
          <w:numId w:val="48"/>
        </w:numPr>
        <w:ind w:left="0" w:firstLine="709"/>
      </w:pPr>
      <w:r>
        <w:t xml:space="preserve">М.: ЮНИТИ-ДАНА, 2005. – 544 с. </w:t>
      </w:r>
    </w:p>
    <w:p w14:paraId="3652A5E3" w14:textId="77777777" w:rsidR="00BC561C" w:rsidRPr="00BC561C" w:rsidRDefault="00BC561C" w:rsidP="00BC561C">
      <w:pPr>
        <w:pStyle w:val="8"/>
        <w:numPr>
          <w:ilvl w:val="0"/>
          <w:numId w:val="48"/>
        </w:numPr>
        <w:ind w:left="0" w:firstLine="709"/>
        <w:rPr>
          <w:lang w:val="en-US"/>
        </w:rPr>
      </w:pPr>
      <w:r w:rsidRPr="00BC561C">
        <w:rPr>
          <w:lang w:val="en-US"/>
        </w:rPr>
        <w:lastRenderedPageBreak/>
        <w:t>Kirchheimer O. et al. The transformation of the Western European party systems //Political parties and political development. – 1966. – Т. 6. – S. 177-</w:t>
      </w:r>
      <w:r>
        <w:t>2</w:t>
      </w:r>
      <w:r w:rsidRPr="00BC561C">
        <w:rPr>
          <w:lang w:val="en-US"/>
        </w:rPr>
        <w:t>00.</w:t>
      </w:r>
      <w:bookmarkEnd w:id="119"/>
    </w:p>
    <w:p w14:paraId="1BB2B921" w14:textId="77777777" w:rsidR="00BC561C" w:rsidRPr="00BC561C" w:rsidRDefault="00BC561C" w:rsidP="00BC561C">
      <w:pPr>
        <w:pStyle w:val="8"/>
        <w:numPr>
          <w:ilvl w:val="0"/>
          <w:numId w:val="48"/>
        </w:numPr>
        <w:ind w:left="0" w:firstLine="709"/>
        <w:rPr>
          <w:lang w:val="en-US"/>
        </w:rPr>
      </w:pPr>
      <w:r w:rsidRPr="00BC561C">
        <w:rPr>
          <w:lang w:val="en-US"/>
        </w:rPr>
        <w:t xml:space="preserve">Krouwel A. Otto Kirchheimer and the catch-all party // West European Politics. – 2003. – </w:t>
      </w:r>
      <w:r>
        <w:t>Т</w:t>
      </w:r>
      <w:r w:rsidRPr="00BC561C">
        <w:rPr>
          <w:lang w:val="en-US"/>
        </w:rPr>
        <w:t>. 26. – №. 2. – S. 23-40.</w:t>
      </w:r>
    </w:p>
    <w:p w14:paraId="5819E4C7" w14:textId="746A885F" w:rsidR="005F4D06" w:rsidRDefault="005F4D06" w:rsidP="00E25B19">
      <w:pPr>
        <w:spacing w:after="0" w:line="240" w:lineRule="auto"/>
        <w:jc w:val="both"/>
        <w:rPr>
          <w:rFonts w:ascii="Times New Roman" w:hAnsi="Times New Roman" w:cs="Times New Roman"/>
          <w:sz w:val="28"/>
          <w:szCs w:val="28"/>
        </w:rPr>
      </w:pPr>
    </w:p>
    <w:p w14:paraId="78DA4130" w14:textId="77777777" w:rsidR="007D3F10" w:rsidRPr="00EF68E3" w:rsidRDefault="000C69B3" w:rsidP="007D3F10">
      <w:pPr>
        <w:pStyle w:val="Standard"/>
        <w:jc w:val="center"/>
        <w:rPr>
          <w:rFonts w:ascii="Times New Roman" w:hAnsi="Times New Roman" w:cs="Times New Roman"/>
          <w:i/>
          <w:sz w:val="28"/>
          <w:szCs w:val="28"/>
          <w:lang w:val="be-BY"/>
        </w:rPr>
      </w:pPr>
      <w:hyperlink w:anchor="_СОДЕРЖАНИЕ" w:history="1">
        <w:r w:rsidR="007D3F10" w:rsidRPr="00EF68E3">
          <w:rPr>
            <w:rStyle w:val="a9"/>
            <w:rFonts w:ascii="Times New Roman" w:hAnsi="Times New Roman" w:cs="Times New Roman"/>
            <w:i/>
            <w:color w:val="auto"/>
            <w:sz w:val="28"/>
            <w:szCs w:val="28"/>
            <w:u w:val="none"/>
            <w:lang w:val="be-BY"/>
          </w:rPr>
          <w:t>К содержанию</w:t>
        </w:r>
      </w:hyperlink>
    </w:p>
    <w:sectPr w:rsidR="007D3F10" w:rsidRPr="00EF68E3" w:rsidSect="00C610CD">
      <w:pgSz w:w="11906" w:h="16838"/>
      <w:pgMar w:top="1418" w:right="1418" w:bottom="1985" w:left="1418" w:header="709" w:footer="11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3A74A" w14:textId="77777777" w:rsidR="00A3717C" w:rsidRDefault="00A3717C" w:rsidP="005212CC">
      <w:pPr>
        <w:spacing w:after="0" w:line="240" w:lineRule="auto"/>
      </w:pPr>
      <w:r>
        <w:separator/>
      </w:r>
    </w:p>
  </w:endnote>
  <w:endnote w:type="continuationSeparator" w:id="0">
    <w:p w14:paraId="7AC0C418" w14:textId="77777777" w:rsidR="00A3717C" w:rsidRDefault="00A3717C" w:rsidP="0052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Cambria"/>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880516"/>
      <w:docPartObj>
        <w:docPartGallery w:val="Page Numbers (Bottom of Page)"/>
        <w:docPartUnique/>
      </w:docPartObj>
    </w:sdtPr>
    <w:sdtEndPr>
      <w:rPr>
        <w:rFonts w:ascii="Times New Roman" w:hAnsi="Times New Roman" w:cs="Times New Roman"/>
        <w:sz w:val="24"/>
        <w:szCs w:val="24"/>
      </w:rPr>
    </w:sdtEndPr>
    <w:sdtContent>
      <w:p w14:paraId="33570581" w14:textId="77777777" w:rsidR="00C37D12" w:rsidRPr="005212CC" w:rsidRDefault="00C37D12">
        <w:pPr>
          <w:pStyle w:val="a5"/>
          <w:jc w:val="center"/>
          <w:rPr>
            <w:rFonts w:ascii="Times New Roman" w:hAnsi="Times New Roman" w:cs="Times New Roman"/>
            <w:sz w:val="24"/>
            <w:szCs w:val="24"/>
          </w:rPr>
        </w:pPr>
        <w:r w:rsidRPr="005212CC">
          <w:rPr>
            <w:rFonts w:ascii="Times New Roman" w:hAnsi="Times New Roman" w:cs="Times New Roman"/>
            <w:sz w:val="24"/>
            <w:szCs w:val="24"/>
          </w:rPr>
          <w:fldChar w:fldCharType="begin"/>
        </w:r>
        <w:r w:rsidRPr="005212CC">
          <w:rPr>
            <w:rFonts w:ascii="Times New Roman" w:hAnsi="Times New Roman" w:cs="Times New Roman"/>
            <w:sz w:val="24"/>
            <w:szCs w:val="24"/>
          </w:rPr>
          <w:instrText>PAGE   \* MERGEFORMAT</w:instrText>
        </w:r>
        <w:r w:rsidRPr="005212CC">
          <w:rPr>
            <w:rFonts w:ascii="Times New Roman" w:hAnsi="Times New Roman" w:cs="Times New Roman"/>
            <w:sz w:val="24"/>
            <w:szCs w:val="24"/>
          </w:rPr>
          <w:fldChar w:fldCharType="separate"/>
        </w:r>
        <w:r w:rsidR="00B233E0">
          <w:rPr>
            <w:rFonts w:ascii="Times New Roman" w:hAnsi="Times New Roman" w:cs="Times New Roman"/>
            <w:noProof/>
            <w:sz w:val="24"/>
            <w:szCs w:val="24"/>
          </w:rPr>
          <w:t>6</w:t>
        </w:r>
        <w:r w:rsidRPr="005212C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7AC6" w14:textId="77777777" w:rsidR="00A3717C" w:rsidRDefault="00A3717C" w:rsidP="005212CC">
      <w:pPr>
        <w:spacing w:after="0" w:line="240" w:lineRule="auto"/>
      </w:pPr>
      <w:r>
        <w:separator/>
      </w:r>
    </w:p>
  </w:footnote>
  <w:footnote w:type="continuationSeparator" w:id="0">
    <w:p w14:paraId="4BEF3334" w14:textId="77777777" w:rsidR="00A3717C" w:rsidRDefault="00A3717C" w:rsidP="005212CC">
      <w:pPr>
        <w:spacing w:after="0" w:line="240" w:lineRule="auto"/>
      </w:pPr>
      <w:r>
        <w:continuationSeparator/>
      </w:r>
    </w:p>
  </w:footnote>
  <w:footnote w:id="1">
    <w:p w14:paraId="626E7A1D" w14:textId="77777777" w:rsidR="00C37D12" w:rsidRDefault="00C37D12" w:rsidP="00A81B93">
      <w:pPr>
        <w:pStyle w:val="aa"/>
        <w:rPr>
          <w:rFonts w:ascii="Times New Roman" w:hAnsi="Times New Roman" w:cs="Times New Roman"/>
        </w:rPr>
      </w:pPr>
      <w:r>
        <w:rPr>
          <w:rStyle w:val="af"/>
          <w:rFonts w:ascii="Times New Roman" w:hAnsi="Times New Roman" w:cs="Times New Roman"/>
        </w:rPr>
        <w:footnoteRef/>
      </w:r>
      <w:r>
        <w:rPr>
          <w:rFonts w:ascii="Times New Roman" w:hAnsi="Times New Roman" w:cs="Times New Roman"/>
        </w:rPr>
        <w:t xml:space="preserve"> Таблица составлена по материалам сайта Ś</w:t>
      </w:r>
      <w:r>
        <w:rPr>
          <w:rFonts w:ascii="Times New Roman" w:hAnsi="Times New Roman" w:cs="Times New Roman"/>
          <w:lang w:val="en-US"/>
        </w:rPr>
        <w:t>l</w:t>
      </w:r>
      <w:r>
        <w:rPr>
          <w:rFonts w:ascii="Times New Roman" w:hAnsi="Times New Roman" w:cs="Times New Roman"/>
        </w:rPr>
        <w:t>ą</w:t>
      </w:r>
      <w:r>
        <w:rPr>
          <w:rFonts w:ascii="Times New Roman" w:hAnsi="Times New Roman" w:cs="Times New Roman"/>
          <w:lang w:val="en-US"/>
        </w:rPr>
        <w:t>ska</w:t>
      </w:r>
      <w:r w:rsidRPr="0097408C">
        <w:rPr>
          <w:rFonts w:ascii="Times New Roman" w:hAnsi="Times New Roman" w:cs="Times New Roman"/>
        </w:rPr>
        <w:t xml:space="preserve"> </w:t>
      </w:r>
      <w:r>
        <w:rPr>
          <w:rFonts w:ascii="Times New Roman" w:hAnsi="Times New Roman" w:cs="Times New Roman"/>
          <w:lang w:val="en-US"/>
        </w:rPr>
        <w:t>Biblioteka</w:t>
      </w:r>
      <w:r w:rsidRPr="0097408C">
        <w:rPr>
          <w:rFonts w:ascii="Times New Roman" w:hAnsi="Times New Roman" w:cs="Times New Roman"/>
        </w:rPr>
        <w:t xml:space="preserve"> </w:t>
      </w:r>
      <w:r>
        <w:rPr>
          <w:rFonts w:ascii="Times New Roman" w:hAnsi="Times New Roman" w:cs="Times New Roman"/>
          <w:lang w:val="en-US"/>
        </w:rPr>
        <w:t>Cyfrowa</w:t>
      </w:r>
      <w:r w:rsidRPr="0097408C">
        <w:rPr>
          <w:rFonts w:ascii="Times New Roman" w:hAnsi="Times New Roman" w:cs="Times New Roman"/>
        </w:rPr>
        <w:t xml:space="preserve"> </w:t>
      </w:r>
      <w:r>
        <w:rPr>
          <w:rFonts w:ascii="Times New Roman" w:hAnsi="Times New Roman" w:cs="Times New Roman"/>
        </w:rPr>
        <w:t>[21].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D7F"/>
    <w:multiLevelType w:val="hybridMultilevel"/>
    <w:tmpl w:val="E32CC6DA"/>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15C5408"/>
    <w:multiLevelType w:val="hybridMultilevel"/>
    <w:tmpl w:val="E1CE33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8119DE"/>
    <w:multiLevelType w:val="hybridMultilevel"/>
    <w:tmpl w:val="17E4E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287DBA"/>
    <w:multiLevelType w:val="hybridMultilevel"/>
    <w:tmpl w:val="47B6A6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E9531B"/>
    <w:multiLevelType w:val="multilevel"/>
    <w:tmpl w:val="81BC9978"/>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265CE"/>
    <w:multiLevelType w:val="hybridMultilevel"/>
    <w:tmpl w:val="BA7E17F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1CB45A6F"/>
    <w:multiLevelType w:val="hybridMultilevel"/>
    <w:tmpl w:val="BA5A9E8A"/>
    <w:lvl w:ilvl="0" w:tplc="410242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0063EFA"/>
    <w:multiLevelType w:val="multilevel"/>
    <w:tmpl w:val="20063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F202AB"/>
    <w:multiLevelType w:val="hybridMultilevel"/>
    <w:tmpl w:val="AA7E4C90"/>
    <w:lvl w:ilvl="0" w:tplc="5B9AB030">
      <w:start w:val="1"/>
      <w:numFmt w:val="decimal"/>
      <w:suff w:val="space"/>
      <w:lvlText w:val="%1."/>
      <w:lvlJc w:val="left"/>
      <w:pPr>
        <w:ind w:left="0" w:firstLine="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A60307D"/>
    <w:multiLevelType w:val="hybridMultilevel"/>
    <w:tmpl w:val="78A49B64"/>
    <w:lvl w:ilvl="0" w:tplc="6B6A3E1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F4041A5"/>
    <w:multiLevelType w:val="multilevel"/>
    <w:tmpl w:val="38E6229E"/>
    <w:lvl w:ilvl="0">
      <w:start w:val="1"/>
      <w:numFmt w:val="decimal"/>
      <w:lvlText w:val="%1."/>
      <w:lvlJc w:val="left"/>
      <w:pPr>
        <w:tabs>
          <w:tab w:val="num" w:pos="502"/>
        </w:tabs>
        <w:ind w:left="502"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D92DB7"/>
    <w:multiLevelType w:val="hybridMultilevel"/>
    <w:tmpl w:val="09FA39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48B2796"/>
    <w:multiLevelType w:val="hybridMultilevel"/>
    <w:tmpl w:val="B0A4F00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3" w15:restartNumberingAfterBreak="0">
    <w:nsid w:val="57C034CA"/>
    <w:multiLevelType w:val="hybridMultilevel"/>
    <w:tmpl w:val="CE4CE3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B273FF6"/>
    <w:multiLevelType w:val="hybridMultilevel"/>
    <w:tmpl w:val="5D261584"/>
    <w:lvl w:ilvl="0" w:tplc="B1BE31CE">
      <w:start w:val="1"/>
      <w:numFmt w:val="decimal"/>
      <w:pStyle w:val="8"/>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CDC1B52"/>
    <w:multiLevelType w:val="hybridMultilevel"/>
    <w:tmpl w:val="BBF4F2A6"/>
    <w:lvl w:ilvl="0" w:tplc="8160D41C">
      <w:start w:val="1"/>
      <w:numFmt w:val="decimal"/>
      <w:lvlText w:val="%1."/>
      <w:lvlJc w:val="left"/>
      <w:pPr>
        <w:ind w:left="720" w:hanging="360"/>
      </w:pPr>
    </w:lvl>
    <w:lvl w:ilvl="1" w:tplc="CD4EA570">
      <w:start w:val="1"/>
      <w:numFmt w:val="lowerLetter"/>
      <w:lvlText w:val="%2."/>
      <w:lvlJc w:val="left"/>
      <w:pPr>
        <w:ind w:left="1440" w:hanging="360"/>
      </w:pPr>
    </w:lvl>
    <w:lvl w:ilvl="2" w:tplc="2D42C48C">
      <w:start w:val="1"/>
      <w:numFmt w:val="lowerRoman"/>
      <w:lvlText w:val="%3."/>
      <w:lvlJc w:val="right"/>
      <w:pPr>
        <w:ind w:left="2160" w:hanging="360"/>
      </w:pPr>
    </w:lvl>
    <w:lvl w:ilvl="3" w:tplc="B3823830">
      <w:start w:val="1"/>
      <w:numFmt w:val="decimal"/>
      <w:lvlText w:val="%4."/>
      <w:lvlJc w:val="left"/>
      <w:pPr>
        <w:ind w:left="2880" w:hanging="360"/>
      </w:pPr>
    </w:lvl>
    <w:lvl w:ilvl="4" w:tplc="F5984B9C">
      <w:start w:val="1"/>
      <w:numFmt w:val="lowerLetter"/>
      <w:lvlText w:val="%5."/>
      <w:lvlJc w:val="left"/>
      <w:pPr>
        <w:ind w:left="3600" w:hanging="360"/>
      </w:pPr>
    </w:lvl>
    <w:lvl w:ilvl="5" w:tplc="02DAB468">
      <w:start w:val="1"/>
      <w:numFmt w:val="lowerRoman"/>
      <w:lvlText w:val="%6."/>
      <w:lvlJc w:val="right"/>
      <w:pPr>
        <w:ind w:left="4320" w:hanging="360"/>
      </w:pPr>
    </w:lvl>
    <w:lvl w:ilvl="6" w:tplc="A72CAF32">
      <w:start w:val="1"/>
      <w:numFmt w:val="decimal"/>
      <w:lvlText w:val="%7."/>
      <w:lvlJc w:val="left"/>
      <w:pPr>
        <w:ind w:left="5040" w:hanging="360"/>
      </w:pPr>
    </w:lvl>
    <w:lvl w:ilvl="7" w:tplc="B7DE6F70">
      <w:start w:val="1"/>
      <w:numFmt w:val="lowerLetter"/>
      <w:lvlText w:val="%8."/>
      <w:lvlJc w:val="left"/>
      <w:pPr>
        <w:ind w:left="5760" w:hanging="360"/>
      </w:pPr>
    </w:lvl>
    <w:lvl w:ilvl="8" w:tplc="769A82B2">
      <w:start w:val="1"/>
      <w:numFmt w:val="lowerRoman"/>
      <w:lvlText w:val="%9."/>
      <w:lvlJc w:val="right"/>
      <w:pPr>
        <w:ind w:left="6480" w:hanging="360"/>
      </w:pPr>
    </w:lvl>
  </w:abstractNum>
  <w:abstractNum w:abstractNumId="16" w15:restartNumberingAfterBreak="0">
    <w:nsid w:val="62896E0D"/>
    <w:multiLevelType w:val="hybridMultilevel"/>
    <w:tmpl w:val="57CC8D7E"/>
    <w:lvl w:ilvl="0" w:tplc="A5CACF6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63416FB7"/>
    <w:multiLevelType w:val="hybridMultilevel"/>
    <w:tmpl w:val="29A05E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3D65BA7"/>
    <w:multiLevelType w:val="hybridMultilevel"/>
    <w:tmpl w:val="924E6818"/>
    <w:lvl w:ilvl="0" w:tplc="50540D82">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19" w15:restartNumberingAfterBreak="0">
    <w:nsid w:val="69924D8B"/>
    <w:multiLevelType w:val="hybridMultilevel"/>
    <w:tmpl w:val="2562A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AAF1CB0"/>
    <w:multiLevelType w:val="multilevel"/>
    <w:tmpl w:val="A0847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5FF70"/>
    <w:multiLevelType w:val="singleLevel"/>
    <w:tmpl w:val="6C45FF70"/>
    <w:lvl w:ilvl="0">
      <w:start w:val="1"/>
      <w:numFmt w:val="decimal"/>
      <w:lvlText w:val="%1."/>
      <w:lvlJc w:val="left"/>
      <w:pPr>
        <w:tabs>
          <w:tab w:val="left" w:pos="845"/>
        </w:tabs>
        <w:ind w:left="845" w:hanging="425"/>
      </w:pPr>
      <w:rPr>
        <w:rFonts w:hint="default"/>
      </w:rPr>
    </w:lvl>
  </w:abstractNum>
  <w:abstractNum w:abstractNumId="22" w15:restartNumberingAfterBreak="0">
    <w:nsid w:val="6CE31FF3"/>
    <w:multiLevelType w:val="hybridMultilevel"/>
    <w:tmpl w:val="9D46F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856655"/>
    <w:multiLevelType w:val="hybridMultilevel"/>
    <w:tmpl w:val="44E2DF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2"/>
  </w:num>
  <w:num w:numId="3">
    <w:abstractNumId w:val="19"/>
  </w:num>
  <w:num w:numId="4">
    <w:abstractNumId w:val="14"/>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3"/>
  </w:num>
  <w:num w:numId="8">
    <w:abstractNumId w:val="0"/>
  </w:num>
  <w:num w:numId="9">
    <w:abstractNumId w:val="13"/>
  </w:num>
  <w:num w:numId="10">
    <w:abstractNumId w:val="1"/>
  </w:num>
  <w:num w:numId="11">
    <w:abstractNumId w:val="4"/>
  </w:num>
  <w:num w:numId="12">
    <w:abstractNumId w:val="20"/>
  </w:num>
  <w:num w:numId="13">
    <w:abstractNumId w:val="6"/>
  </w:num>
  <w:num w:numId="14">
    <w:abstractNumId w:val="9"/>
  </w:num>
  <w:num w:numId="15">
    <w:abstractNumId w:val="12"/>
  </w:num>
  <w:num w:numId="16">
    <w:abstractNumId w:val="10"/>
  </w:num>
  <w:num w:numId="17">
    <w:abstractNumId w:val="5"/>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6"/>
  </w:num>
  <w:num w:numId="34">
    <w:abstractNumId w:val="14"/>
    <w:lvlOverride w:ilvl="0">
      <w:startOverride w:val="1"/>
    </w:lvlOverride>
  </w:num>
  <w:num w:numId="35">
    <w:abstractNumId w:val="14"/>
    <w:lvlOverride w:ilvl="0">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num>
  <w:num w:numId="42">
    <w:abstractNumId w:val="14"/>
    <w:lvlOverride w:ilvl="0">
      <w:startOverride w:val="1"/>
    </w:lvlOverride>
  </w:num>
  <w:num w:numId="43">
    <w:abstractNumId w:val="21"/>
  </w:num>
  <w:num w:numId="44">
    <w:abstractNumId w:val="14"/>
    <w:lvlOverride w:ilvl="0">
      <w:startOverride w:val="1"/>
    </w:lvlOverride>
  </w:num>
  <w:num w:numId="45">
    <w:abstractNumId w:val="14"/>
    <w:lvlOverride w:ilvl="0">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8D"/>
    <w:rsid w:val="00002596"/>
    <w:rsid w:val="0000464C"/>
    <w:rsid w:val="00004D6B"/>
    <w:rsid w:val="00005AA0"/>
    <w:rsid w:val="00005FBB"/>
    <w:rsid w:val="00012061"/>
    <w:rsid w:val="00013591"/>
    <w:rsid w:val="00020F36"/>
    <w:rsid w:val="00021A2D"/>
    <w:rsid w:val="00024337"/>
    <w:rsid w:val="00031550"/>
    <w:rsid w:val="0003241F"/>
    <w:rsid w:val="00034BF1"/>
    <w:rsid w:val="000353D9"/>
    <w:rsid w:val="000426D2"/>
    <w:rsid w:val="0004644F"/>
    <w:rsid w:val="00047627"/>
    <w:rsid w:val="000512ED"/>
    <w:rsid w:val="0005467F"/>
    <w:rsid w:val="0005513D"/>
    <w:rsid w:val="000558D2"/>
    <w:rsid w:val="0006346B"/>
    <w:rsid w:val="00064A8D"/>
    <w:rsid w:val="000651BC"/>
    <w:rsid w:val="000741EE"/>
    <w:rsid w:val="00075080"/>
    <w:rsid w:val="000862FC"/>
    <w:rsid w:val="00086A44"/>
    <w:rsid w:val="00093C1D"/>
    <w:rsid w:val="000945B7"/>
    <w:rsid w:val="000A0335"/>
    <w:rsid w:val="000B0B6B"/>
    <w:rsid w:val="000B5E7C"/>
    <w:rsid w:val="000C0081"/>
    <w:rsid w:val="000C5F86"/>
    <w:rsid w:val="000C6760"/>
    <w:rsid w:val="000C69B3"/>
    <w:rsid w:val="000D25E2"/>
    <w:rsid w:val="000D7694"/>
    <w:rsid w:val="000E526F"/>
    <w:rsid w:val="000F0321"/>
    <w:rsid w:val="000F435A"/>
    <w:rsid w:val="000F437D"/>
    <w:rsid w:val="00100228"/>
    <w:rsid w:val="00104112"/>
    <w:rsid w:val="00112EFC"/>
    <w:rsid w:val="001137F1"/>
    <w:rsid w:val="00117306"/>
    <w:rsid w:val="001309BA"/>
    <w:rsid w:val="0013204B"/>
    <w:rsid w:val="00133BC0"/>
    <w:rsid w:val="001425E3"/>
    <w:rsid w:val="00144D7B"/>
    <w:rsid w:val="00145F8E"/>
    <w:rsid w:val="001512CF"/>
    <w:rsid w:val="001549F7"/>
    <w:rsid w:val="001577A3"/>
    <w:rsid w:val="00166040"/>
    <w:rsid w:val="00173440"/>
    <w:rsid w:val="0018086A"/>
    <w:rsid w:val="001831D3"/>
    <w:rsid w:val="0019308B"/>
    <w:rsid w:val="00194F40"/>
    <w:rsid w:val="00197630"/>
    <w:rsid w:val="001A24D9"/>
    <w:rsid w:val="001A3BF3"/>
    <w:rsid w:val="001C3CBE"/>
    <w:rsid w:val="001D01A7"/>
    <w:rsid w:val="001D38B2"/>
    <w:rsid w:val="001E1AC8"/>
    <w:rsid w:val="001F4074"/>
    <w:rsid w:val="0020190C"/>
    <w:rsid w:val="00204EC0"/>
    <w:rsid w:val="0020512E"/>
    <w:rsid w:val="00206390"/>
    <w:rsid w:val="00207BCF"/>
    <w:rsid w:val="0021319D"/>
    <w:rsid w:val="002133B6"/>
    <w:rsid w:val="0021392A"/>
    <w:rsid w:val="00213D75"/>
    <w:rsid w:val="002153BF"/>
    <w:rsid w:val="00216744"/>
    <w:rsid w:val="0022626B"/>
    <w:rsid w:val="00227AE6"/>
    <w:rsid w:val="002303B6"/>
    <w:rsid w:val="002320D7"/>
    <w:rsid w:val="00233CDD"/>
    <w:rsid w:val="0023471D"/>
    <w:rsid w:val="002369CC"/>
    <w:rsid w:val="002377D0"/>
    <w:rsid w:val="002378AB"/>
    <w:rsid w:val="00237BAE"/>
    <w:rsid w:val="002432DA"/>
    <w:rsid w:val="00250AE8"/>
    <w:rsid w:val="002532D0"/>
    <w:rsid w:val="002537C1"/>
    <w:rsid w:val="0025517F"/>
    <w:rsid w:val="0025704E"/>
    <w:rsid w:val="0025791A"/>
    <w:rsid w:val="00266407"/>
    <w:rsid w:val="002760FE"/>
    <w:rsid w:val="00277BD2"/>
    <w:rsid w:val="00281CF9"/>
    <w:rsid w:val="00284203"/>
    <w:rsid w:val="00286D3B"/>
    <w:rsid w:val="00287F79"/>
    <w:rsid w:val="002950D6"/>
    <w:rsid w:val="0029546A"/>
    <w:rsid w:val="00296459"/>
    <w:rsid w:val="002A1C20"/>
    <w:rsid w:val="002A2BEB"/>
    <w:rsid w:val="002A2C03"/>
    <w:rsid w:val="002A33D4"/>
    <w:rsid w:val="002A36B4"/>
    <w:rsid w:val="002A3D81"/>
    <w:rsid w:val="002A6368"/>
    <w:rsid w:val="002B1B00"/>
    <w:rsid w:val="002B6924"/>
    <w:rsid w:val="002C4AA5"/>
    <w:rsid w:val="002D2CB7"/>
    <w:rsid w:val="002D478B"/>
    <w:rsid w:val="002E4BD4"/>
    <w:rsid w:val="002E5483"/>
    <w:rsid w:val="002E73F9"/>
    <w:rsid w:val="002F2A63"/>
    <w:rsid w:val="003005D3"/>
    <w:rsid w:val="0030199C"/>
    <w:rsid w:val="003020AA"/>
    <w:rsid w:val="0030437C"/>
    <w:rsid w:val="00306890"/>
    <w:rsid w:val="00317108"/>
    <w:rsid w:val="0031746D"/>
    <w:rsid w:val="00334FD6"/>
    <w:rsid w:val="00335685"/>
    <w:rsid w:val="00336CAA"/>
    <w:rsid w:val="00340D9D"/>
    <w:rsid w:val="0034465E"/>
    <w:rsid w:val="00345C1C"/>
    <w:rsid w:val="0034770B"/>
    <w:rsid w:val="00351142"/>
    <w:rsid w:val="00351955"/>
    <w:rsid w:val="00355ED9"/>
    <w:rsid w:val="00360880"/>
    <w:rsid w:val="00366FDE"/>
    <w:rsid w:val="003757ED"/>
    <w:rsid w:val="00377AFC"/>
    <w:rsid w:val="00385048"/>
    <w:rsid w:val="003904D3"/>
    <w:rsid w:val="00391E64"/>
    <w:rsid w:val="00394085"/>
    <w:rsid w:val="003973FC"/>
    <w:rsid w:val="003A1825"/>
    <w:rsid w:val="003A4EBF"/>
    <w:rsid w:val="003A6D67"/>
    <w:rsid w:val="003B1E3E"/>
    <w:rsid w:val="003B4C52"/>
    <w:rsid w:val="003B5B5B"/>
    <w:rsid w:val="003C091F"/>
    <w:rsid w:val="003C1A44"/>
    <w:rsid w:val="003C1C14"/>
    <w:rsid w:val="003C2A4E"/>
    <w:rsid w:val="003D0E2C"/>
    <w:rsid w:val="003D3C47"/>
    <w:rsid w:val="003D682F"/>
    <w:rsid w:val="003E1A1B"/>
    <w:rsid w:val="003E1B81"/>
    <w:rsid w:val="003E2A3F"/>
    <w:rsid w:val="003E5840"/>
    <w:rsid w:val="00400F74"/>
    <w:rsid w:val="00406E5E"/>
    <w:rsid w:val="00410C49"/>
    <w:rsid w:val="00412291"/>
    <w:rsid w:val="00414112"/>
    <w:rsid w:val="004147B5"/>
    <w:rsid w:val="004170DA"/>
    <w:rsid w:val="00420670"/>
    <w:rsid w:val="004278CE"/>
    <w:rsid w:val="00432A70"/>
    <w:rsid w:val="004360CB"/>
    <w:rsid w:val="004366A2"/>
    <w:rsid w:val="004423E6"/>
    <w:rsid w:val="00442FA2"/>
    <w:rsid w:val="0045458D"/>
    <w:rsid w:val="004554D9"/>
    <w:rsid w:val="00464917"/>
    <w:rsid w:val="00473095"/>
    <w:rsid w:val="00475311"/>
    <w:rsid w:val="00477F9D"/>
    <w:rsid w:val="0048362B"/>
    <w:rsid w:val="004845D4"/>
    <w:rsid w:val="0049132B"/>
    <w:rsid w:val="004B0C1B"/>
    <w:rsid w:val="004B243C"/>
    <w:rsid w:val="004B3C11"/>
    <w:rsid w:val="004B5530"/>
    <w:rsid w:val="004C797D"/>
    <w:rsid w:val="004D2965"/>
    <w:rsid w:val="004D536A"/>
    <w:rsid w:val="004D7A7C"/>
    <w:rsid w:val="004E1D61"/>
    <w:rsid w:val="004E4EA4"/>
    <w:rsid w:val="004F0220"/>
    <w:rsid w:val="004F2CC2"/>
    <w:rsid w:val="004F3D35"/>
    <w:rsid w:val="005075B7"/>
    <w:rsid w:val="0051007D"/>
    <w:rsid w:val="005101D5"/>
    <w:rsid w:val="00516850"/>
    <w:rsid w:val="00516D2B"/>
    <w:rsid w:val="00520929"/>
    <w:rsid w:val="005212CC"/>
    <w:rsid w:val="00525602"/>
    <w:rsid w:val="005271E6"/>
    <w:rsid w:val="00534D83"/>
    <w:rsid w:val="00534F6A"/>
    <w:rsid w:val="00540744"/>
    <w:rsid w:val="005412EE"/>
    <w:rsid w:val="00541980"/>
    <w:rsid w:val="00550C02"/>
    <w:rsid w:val="00550D00"/>
    <w:rsid w:val="005600EC"/>
    <w:rsid w:val="0056064F"/>
    <w:rsid w:val="0056219B"/>
    <w:rsid w:val="0056308C"/>
    <w:rsid w:val="005637C9"/>
    <w:rsid w:val="00564468"/>
    <w:rsid w:val="005736CE"/>
    <w:rsid w:val="0057563F"/>
    <w:rsid w:val="00575792"/>
    <w:rsid w:val="005771DB"/>
    <w:rsid w:val="005778F1"/>
    <w:rsid w:val="00581A1D"/>
    <w:rsid w:val="00583954"/>
    <w:rsid w:val="00585676"/>
    <w:rsid w:val="00586337"/>
    <w:rsid w:val="00597FD6"/>
    <w:rsid w:val="005A00BC"/>
    <w:rsid w:val="005A4D1F"/>
    <w:rsid w:val="005B2D9A"/>
    <w:rsid w:val="005B405C"/>
    <w:rsid w:val="005B6346"/>
    <w:rsid w:val="005C07FF"/>
    <w:rsid w:val="005C7F20"/>
    <w:rsid w:val="005D1195"/>
    <w:rsid w:val="005D3541"/>
    <w:rsid w:val="005D609A"/>
    <w:rsid w:val="005E32D6"/>
    <w:rsid w:val="005F0101"/>
    <w:rsid w:val="005F2740"/>
    <w:rsid w:val="005F463A"/>
    <w:rsid w:val="005F4D06"/>
    <w:rsid w:val="006048E7"/>
    <w:rsid w:val="00605D27"/>
    <w:rsid w:val="006102F0"/>
    <w:rsid w:val="00610785"/>
    <w:rsid w:val="0061721D"/>
    <w:rsid w:val="00617D0B"/>
    <w:rsid w:val="00617D11"/>
    <w:rsid w:val="00623958"/>
    <w:rsid w:val="0062496B"/>
    <w:rsid w:val="006275B6"/>
    <w:rsid w:val="006336EC"/>
    <w:rsid w:val="00633D99"/>
    <w:rsid w:val="0063522C"/>
    <w:rsid w:val="0064188B"/>
    <w:rsid w:val="00641D71"/>
    <w:rsid w:val="00645745"/>
    <w:rsid w:val="006475D6"/>
    <w:rsid w:val="00647D75"/>
    <w:rsid w:val="00650327"/>
    <w:rsid w:val="006579D3"/>
    <w:rsid w:val="0067005D"/>
    <w:rsid w:val="0067069C"/>
    <w:rsid w:val="0067444A"/>
    <w:rsid w:val="00685C21"/>
    <w:rsid w:val="006925F6"/>
    <w:rsid w:val="006A0422"/>
    <w:rsid w:val="006A3B34"/>
    <w:rsid w:val="006A49E6"/>
    <w:rsid w:val="006A5452"/>
    <w:rsid w:val="006C3FF1"/>
    <w:rsid w:val="006C5B4F"/>
    <w:rsid w:val="006C67F2"/>
    <w:rsid w:val="006C7830"/>
    <w:rsid w:val="006D338F"/>
    <w:rsid w:val="006D5F82"/>
    <w:rsid w:val="006D6282"/>
    <w:rsid w:val="006E1A69"/>
    <w:rsid w:val="006E70E2"/>
    <w:rsid w:val="006F6A4F"/>
    <w:rsid w:val="006F6D04"/>
    <w:rsid w:val="00703A73"/>
    <w:rsid w:val="007041F7"/>
    <w:rsid w:val="00705A4F"/>
    <w:rsid w:val="00705D1B"/>
    <w:rsid w:val="00706E58"/>
    <w:rsid w:val="00710CFF"/>
    <w:rsid w:val="0071215C"/>
    <w:rsid w:val="00712EB3"/>
    <w:rsid w:val="00716E51"/>
    <w:rsid w:val="00720018"/>
    <w:rsid w:val="00731106"/>
    <w:rsid w:val="007321A6"/>
    <w:rsid w:val="0073245D"/>
    <w:rsid w:val="00741212"/>
    <w:rsid w:val="00741FAA"/>
    <w:rsid w:val="00743D82"/>
    <w:rsid w:val="00747052"/>
    <w:rsid w:val="0075373E"/>
    <w:rsid w:val="00755046"/>
    <w:rsid w:val="00761013"/>
    <w:rsid w:val="0076471F"/>
    <w:rsid w:val="0076503B"/>
    <w:rsid w:val="00766A68"/>
    <w:rsid w:val="0077046F"/>
    <w:rsid w:val="00781248"/>
    <w:rsid w:val="00783E4F"/>
    <w:rsid w:val="00792117"/>
    <w:rsid w:val="007A5941"/>
    <w:rsid w:val="007A6F9D"/>
    <w:rsid w:val="007B0BAA"/>
    <w:rsid w:val="007B6F10"/>
    <w:rsid w:val="007C05FF"/>
    <w:rsid w:val="007C685D"/>
    <w:rsid w:val="007C7D22"/>
    <w:rsid w:val="007D3F10"/>
    <w:rsid w:val="007D5824"/>
    <w:rsid w:val="007D5E0F"/>
    <w:rsid w:val="007E43C1"/>
    <w:rsid w:val="007E6639"/>
    <w:rsid w:val="007F1CF1"/>
    <w:rsid w:val="007F287C"/>
    <w:rsid w:val="00801A18"/>
    <w:rsid w:val="008025FB"/>
    <w:rsid w:val="00806683"/>
    <w:rsid w:val="00807C17"/>
    <w:rsid w:val="00811BAE"/>
    <w:rsid w:val="00815F4F"/>
    <w:rsid w:val="00817DEC"/>
    <w:rsid w:val="00820A5C"/>
    <w:rsid w:val="0082440F"/>
    <w:rsid w:val="0082499C"/>
    <w:rsid w:val="00826709"/>
    <w:rsid w:val="00830858"/>
    <w:rsid w:val="00833184"/>
    <w:rsid w:val="00835111"/>
    <w:rsid w:val="00836792"/>
    <w:rsid w:val="00842998"/>
    <w:rsid w:val="008439E4"/>
    <w:rsid w:val="00843A57"/>
    <w:rsid w:val="008606D7"/>
    <w:rsid w:val="00862715"/>
    <w:rsid w:val="0086663B"/>
    <w:rsid w:val="00866C3C"/>
    <w:rsid w:val="008747AC"/>
    <w:rsid w:val="008874E3"/>
    <w:rsid w:val="008879E2"/>
    <w:rsid w:val="00893AF6"/>
    <w:rsid w:val="0089679D"/>
    <w:rsid w:val="008A0C1F"/>
    <w:rsid w:val="008A4E0C"/>
    <w:rsid w:val="008A618F"/>
    <w:rsid w:val="008A651F"/>
    <w:rsid w:val="008B1B1D"/>
    <w:rsid w:val="008B3885"/>
    <w:rsid w:val="008B43A6"/>
    <w:rsid w:val="008B641A"/>
    <w:rsid w:val="008C10EB"/>
    <w:rsid w:val="008C36B7"/>
    <w:rsid w:val="008C4885"/>
    <w:rsid w:val="008D6806"/>
    <w:rsid w:val="008E1B5E"/>
    <w:rsid w:val="008E3FDC"/>
    <w:rsid w:val="008E7234"/>
    <w:rsid w:val="008F589B"/>
    <w:rsid w:val="009031AC"/>
    <w:rsid w:val="00903395"/>
    <w:rsid w:val="00907011"/>
    <w:rsid w:val="0090708E"/>
    <w:rsid w:val="009107E9"/>
    <w:rsid w:val="00917BA1"/>
    <w:rsid w:val="0092140A"/>
    <w:rsid w:val="00923C9B"/>
    <w:rsid w:val="00927050"/>
    <w:rsid w:val="0093228C"/>
    <w:rsid w:val="00935856"/>
    <w:rsid w:val="00945FE3"/>
    <w:rsid w:val="0095713B"/>
    <w:rsid w:val="00961A40"/>
    <w:rsid w:val="0096408A"/>
    <w:rsid w:val="0097030B"/>
    <w:rsid w:val="0097408C"/>
    <w:rsid w:val="00976083"/>
    <w:rsid w:val="00990FEB"/>
    <w:rsid w:val="00992C32"/>
    <w:rsid w:val="00993010"/>
    <w:rsid w:val="00993A82"/>
    <w:rsid w:val="009A1B5F"/>
    <w:rsid w:val="009A38C0"/>
    <w:rsid w:val="009A4EA6"/>
    <w:rsid w:val="009A66FB"/>
    <w:rsid w:val="009A7D6C"/>
    <w:rsid w:val="009B185A"/>
    <w:rsid w:val="009B1BEE"/>
    <w:rsid w:val="009B60A4"/>
    <w:rsid w:val="009C0994"/>
    <w:rsid w:val="009D49E6"/>
    <w:rsid w:val="009D62C8"/>
    <w:rsid w:val="009D63FE"/>
    <w:rsid w:val="009D6935"/>
    <w:rsid w:val="009E106E"/>
    <w:rsid w:val="009E1556"/>
    <w:rsid w:val="009E2A97"/>
    <w:rsid w:val="009E3FBE"/>
    <w:rsid w:val="009E5EC0"/>
    <w:rsid w:val="009F0310"/>
    <w:rsid w:val="009F690E"/>
    <w:rsid w:val="009F7626"/>
    <w:rsid w:val="00A07512"/>
    <w:rsid w:val="00A16150"/>
    <w:rsid w:val="00A1707A"/>
    <w:rsid w:val="00A21CBC"/>
    <w:rsid w:val="00A24DE5"/>
    <w:rsid w:val="00A24E36"/>
    <w:rsid w:val="00A3150F"/>
    <w:rsid w:val="00A33AE4"/>
    <w:rsid w:val="00A3717C"/>
    <w:rsid w:val="00A4012B"/>
    <w:rsid w:val="00A42106"/>
    <w:rsid w:val="00A43073"/>
    <w:rsid w:val="00A52369"/>
    <w:rsid w:val="00A55ADE"/>
    <w:rsid w:val="00A62459"/>
    <w:rsid w:val="00A625C6"/>
    <w:rsid w:val="00A62886"/>
    <w:rsid w:val="00A63037"/>
    <w:rsid w:val="00A80193"/>
    <w:rsid w:val="00A81B93"/>
    <w:rsid w:val="00A90A5A"/>
    <w:rsid w:val="00A910B8"/>
    <w:rsid w:val="00A96F91"/>
    <w:rsid w:val="00A972A5"/>
    <w:rsid w:val="00AA53C5"/>
    <w:rsid w:val="00AB51FE"/>
    <w:rsid w:val="00AB6A35"/>
    <w:rsid w:val="00AC10CC"/>
    <w:rsid w:val="00AC7638"/>
    <w:rsid w:val="00AD1A86"/>
    <w:rsid w:val="00AD2138"/>
    <w:rsid w:val="00AE02D5"/>
    <w:rsid w:val="00AE07B4"/>
    <w:rsid w:val="00AE0CE5"/>
    <w:rsid w:val="00AE12BF"/>
    <w:rsid w:val="00AE1C88"/>
    <w:rsid w:val="00AE5374"/>
    <w:rsid w:val="00AF3110"/>
    <w:rsid w:val="00B00F9F"/>
    <w:rsid w:val="00B02E3D"/>
    <w:rsid w:val="00B10B04"/>
    <w:rsid w:val="00B1104E"/>
    <w:rsid w:val="00B13DD5"/>
    <w:rsid w:val="00B21FBA"/>
    <w:rsid w:val="00B233E0"/>
    <w:rsid w:val="00B24B15"/>
    <w:rsid w:val="00B31801"/>
    <w:rsid w:val="00B32A58"/>
    <w:rsid w:val="00B3626A"/>
    <w:rsid w:val="00B374DA"/>
    <w:rsid w:val="00B40577"/>
    <w:rsid w:val="00B41967"/>
    <w:rsid w:val="00B4248F"/>
    <w:rsid w:val="00B549A3"/>
    <w:rsid w:val="00B5726B"/>
    <w:rsid w:val="00B62EBE"/>
    <w:rsid w:val="00B725D1"/>
    <w:rsid w:val="00B7668D"/>
    <w:rsid w:val="00B806F1"/>
    <w:rsid w:val="00B8394A"/>
    <w:rsid w:val="00B872B7"/>
    <w:rsid w:val="00BA0E66"/>
    <w:rsid w:val="00BA69F9"/>
    <w:rsid w:val="00BB0781"/>
    <w:rsid w:val="00BB18D7"/>
    <w:rsid w:val="00BB510C"/>
    <w:rsid w:val="00BB5C71"/>
    <w:rsid w:val="00BC0462"/>
    <w:rsid w:val="00BC2E92"/>
    <w:rsid w:val="00BC561C"/>
    <w:rsid w:val="00BC7234"/>
    <w:rsid w:val="00BD126B"/>
    <w:rsid w:val="00BD1D65"/>
    <w:rsid w:val="00BD2573"/>
    <w:rsid w:val="00BD2FA8"/>
    <w:rsid w:val="00BD45AC"/>
    <w:rsid w:val="00BE400C"/>
    <w:rsid w:val="00BE770E"/>
    <w:rsid w:val="00BF04EA"/>
    <w:rsid w:val="00C01C91"/>
    <w:rsid w:val="00C039D8"/>
    <w:rsid w:val="00C05E44"/>
    <w:rsid w:val="00C13BF9"/>
    <w:rsid w:val="00C163DD"/>
    <w:rsid w:val="00C17197"/>
    <w:rsid w:val="00C204F0"/>
    <w:rsid w:val="00C258EB"/>
    <w:rsid w:val="00C274F7"/>
    <w:rsid w:val="00C27C24"/>
    <w:rsid w:val="00C302EE"/>
    <w:rsid w:val="00C3073E"/>
    <w:rsid w:val="00C37D12"/>
    <w:rsid w:val="00C400CF"/>
    <w:rsid w:val="00C401C5"/>
    <w:rsid w:val="00C41E9E"/>
    <w:rsid w:val="00C461C9"/>
    <w:rsid w:val="00C542D8"/>
    <w:rsid w:val="00C60394"/>
    <w:rsid w:val="00C610CD"/>
    <w:rsid w:val="00C63CE8"/>
    <w:rsid w:val="00C65201"/>
    <w:rsid w:val="00C65D2C"/>
    <w:rsid w:val="00C74123"/>
    <w:rsid w:val="00C8031F"/>
    <w:rsid w:val="00C84747"/>
    <w:rsid w:val="00C84B4A"/>
    <w:rsid w:val="00C854CE"/>
    <w:rsid w:val="00C9074A"/>
    <w:rsid w:val="00C95CBF"/>
    <w:rsid w:val="00CA256E"/>
    <w:rsid w:val="00CA278D"/>
    <w:rsid w:val="00CA4DAE"/>
    <w:rsid w:val="00CA5670"/>
    <w:rsid w:val="00CA64A8"/>
    <w:rsid w:val="00CB1AE5"/>
    <w:rsid w:val="00CB7F98"/>
    <w:rsid w:val="00CC0B6B"/>
    <w:rsid w:val="00CC135B"/>
    <w:rsid w:val="00CC2717"/>
    <w:rsid w:val="00CD050B"/>
    <w:rsid w:val="00CD3CC3"/>
    <w:rsid w:val="00CD5997"/>
    <w:rsid w:val="00CD75EE"/>
    <w:rsid w:val="00CF48C2"/>
    <w:rsid w:val="00CF78D3"/>
    <w:rsid w:val="00D13870"/>
    <w:rsid w:val="00D1519D"/>
    <w:rsid w:val="00D166DA"/>
    <w:rsid w:val="00D17860"/>
    <w:rsid w:val="00D224B6"/>
    <w:rsid w:val="00D23BDF"/>
    <w:rsid w:val="00D27DD1"/>
    <w:rsid w:val="00D626CF"/>
    <w:rsid w:val="00D632EF"/>
    <w:rsid w:val="00D63A6F"/>
    <w:rsid w:val="00D72B45"/>
    <w:rsid w:val="00D84C29"/>
    <w:rsid w:val="00D85AA1"/>
    <w:rsid w:val="00D86850"/>
    <w:rsid w:val="00D8693F"/>
    <w:rsid w:val="00D921A5"/>
    <w:rsid w:val="00D94FBF"/>
    <w:rsid w:val="00DA1640"/>
    <w:rsid w:val="00DA7178"/>
    <w:rsid w:val="00DB0D73"/>
    <w:rsid w:val="00DB0E85"/>
    <w:rsid w:val="00DB435F"/>
    <w:rsid w:val="00DC142F"/>
    <w:rsid w:val="00DD0B92"/>
    <w:rsid w:val="00DD1F08"/>
    <w:rsid w:val="00DD4FA5"/>
    <w:rsid w:val="00E017E2"/>
    <w:rsid w:val="00E05E4D"/>
    <w:rsid w:val="00E110DA"/>
    <w:rsid w:val="00E15D8C"/>
    <w:rsid w:val="00E20541"/>
    <w:rsid w:val="00E207AA"/>
    <w:rsid w:val="00E21EA7"/>
    <w:rsid w:val="00E22C16"/>
    <w:rsid w:val="00E25B19"/>
    <w:rsid w:val="00E25CEB"/>
    <w:rsid w:val="00E2608E"/>
    <w:rsid w:val="00E27360"/>
    <w:rsid w:val="00E273D2"/>
    <w:rsid w:val="00E30401"/>
    <w:rsid w:val="00E43E2F"/>
    <w:rsid w:val="00E445B3"/>
    <w:rsid w:val="00E44E72"/>
    <w:rsid w:val="00E47AFD"/>
    <w:rsid w:val="00E51752"/>
    <w:rsid w:val="00E54736"/>
    <w:rsid w:val="00E60782"/>
    <w:rsid w:val="00E60EE8"/>
    <w:rsid w:val="00E67044"/>
    <w:rsid w:val="00E73B00"/>
    <w:rsid w:val="00E7443E"/>
    <w:rsid w:val="00E7468A"/>
    <w:rsid w:val="00E828D0"/>
    <w:rsid w:val="00E8684C"/>
    <w:rsid w:val="00E87D7C"/>
    <w:rsid w:val="00E94864"/>
    <w:rsid w:val="00E94D33"/>
    <w:rsid w:val="00EA4048"/>
    <w:rsid w:val="00EA6199"/>
    <w:rsid w:val="00EA622E"/>
    <w:rsid w:val="00EB1A40"/>
    <w:rsid w:val="00EB288B"/>
    <w:rsid w:val="00EB312C"/>
    <w:rsid w:val="00EC3E2B"/>
    <w:rsid w:val="00EC5C04"/>
    <w:rsid w:val="00EC5EEB"/>
    <w:rsid w:val="00EC5FF3"/>
    <w:rsid w:val="00ED507D"/>
    <w:rsid w:val="00EE1961"/>
    <w:rsid w:val="00EE56A8"/>
    <w:rsid w:val="00EE5BFF"/>
    <w:rsid w:val="00EF1086"/>
    <w:rsid w:val="00EF68E3"/>
    <w:rsid w:val="00F026C4"/>
    <w:rsid w:val="00F03122"/>
    <w:rsid w:val="00F044A4"/>
    <w:rsid w:val="00F161BD"/>
    <w:rsid w:val="00F21254"/>
    <w:rsid w:val="00F26A5E"/>
    <w:rsid w:val="00F31571"/>
    <w:rsid w:val="00F32EA2"/>
    <w:rsid w:val="00F331B5"/>
    <w:rsid w:val="00F371EC"/>
    <w:rsid w:val="00F4284F"/>
    <w:rsid w:val="00F43D62"/>
    <w:rsid w:val="00F4404E"/>
    <w:rsid w:val="00F46052"/>
    <w:rsid w:val="00F4649B"/>
    <w:rsid w:val="00F64BEB"/>
    <w:rsid w:val="00F65DE5"/>
    <w:rsid w:val="00F7633C"/>
    <w:rsid w:val="00F81F47"/>
    <w:rsid w:val="00F83320"/>
    <w:rsid w:val="00F9010B"/>
    <w:rsid w:val="00F93D6E"/>
    <w:rsid w:val="00F95E04"/>
    <w:rsid w:val="00F96EAB"/>
    <w:rsid w:val="00FA421E"/>
    <w:rsid w:val="00FA4998"/>
    <w:rsid w:val="00FA78BA"/>
    <w:rsid w:val="00FB000D"/>
    <w:rsid w:val="00FB6D77"/>
    <w:rsid w:val="00FC095C"/>
    <w:rsid w:val="00FC7139"/>
    <w:rsid w:val="00FD14F6"/>
    <w:rsid w:val="00FD36BD"/>
    <w:rsid w:val="00FD4882"/>
    <w:rsid w:val="00FE1EAE"/>
    <w:rsid w:val="00FE2D7D"/>
    <w:rsid w:val="00FF1B87"/>
    <w:rsid w:val="00FF42CC"/>
    <w:rsid w:val="00FF4810"/>
    <w:rsid w:val="00FF7161"/>
    <w:rsid w:val="00FF71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3658D"/>
  <w15:docId w15:val="{22C0F8A8-72FA-4696-9910-08113CBE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4885"/>
  </w:style>
  <w:style w:type="paragraph" w:styleId="1">
    <w:name w:val="heading 1"/>
    <w:basedOn w:val="a"/>
    <w:next w:val="a"/>
    <w:link w:val="10"/>
    <w:uiPriority w:val="9"/>
    <w:qFormat/>
    <w:rsid w:val="00792117"/>
    <w:pPr>
      <w:spacing w:after="0" w:line="240" w:lineRule="auto"/>
      <w:jc w:val="center"/>
      <w:outlineLvl w:val="0"/>
    </w:pPr>
    <w:rPr>
      <w:rFonts w:ascii="Times New Roman" w:hAnsi="Times New Roman" w:cs="Times New Roman"/>
      <w:b/>
      <w:sz w:val="28"/>
      <w:u w:val="single"/>
      <w:lang w:val="be-BY"/>
    </w:rPr>
  </w:style>
  <w:style w:type="paragraph" w:styleId="2">
    <w:name w:val="heading 2"/>
    <w:basedOn w:val="a"/>
    <w:next w:val="a"/>
    <w:link w:val="20"/>
    <w:uiPriority w:val="9"/>
    <w:unhideWhenUsed/>
    <w:qFormat/>
    <w:rsid w:val="00792117"/>
    <w:pPr>
      <w:spacing w:after="0" w:line="240" w:lineRule="auto"/>
      <w:ind w:firstLine="709"/>
      <w:outlineLvl w:val="1"/>
    </w:pPr>
    <w:rPr>
      <w:rFonts w:ascii="Times New Roman" w:hAnsi="Times New Roman" w:cs="Times New Roman"/>
      <w:b/>
      <w:sz w:val="28"/>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668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5212C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12CC"/>
  </w:style>
  <w:style w:type="paragraph" w:styleId="a5">
    <w:name w:val="footer"/>
    <w:basedOn w:val="a"/>
    <w:link w:val="a6"/>
    <w:uiPriority w:val="99"/>
    <w:unhideWhenUsed/>
    <w:rsid w:val="005212C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12CC"/>
  </w:style>
  <w:style w:type="paragraph" w:customStyle="1" w:styleId="Standard">
    <w:name w:val="Standard"/>
    <w:link w:val="Standard0"/>
    <w:rsid w:val="00CF78D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fontstyle01">
    <w:name w:val="fontstyle01"/>
    <w:basedOn w:val="a0"/>
    <w:rsid w:val="00CF78D3"/>
    <w:rPr>
      <w:rFonts w:ascii="LiberationSerif" w:hAnsi="LiberationSerif" w:hint="default"/>
      <w:b w:val="0"/>
      <w:bCs w:val="0"/>
      <w:i w:val="0"/>
      <w:iCs w:val="0"/>
      <w:color w:val="000000"/>
      <w:sz w:val="20"/>
      <w:szCs w:val="20"/>
    </w:rPr>
  </w:style>
  <w:style w:type="paragraph" w:styleId="a7">
    <w:name w:val="List Paragraph"/>
    <w:basedOn w:val="a"/>
    <w:link w:val="a8"/>
    <w:uiPriority w:val="34"/>
    <w:qFormat/>
    <w:rsid w:val="00B40577"/>
    <w:pPr>
      <w:ind w:left="720"/>
      <w:contextualSpacing/>
    </w:pPr>
  </w:style>
  <w:style w:type="paragraph" w:styleId="HTML">
    <w:name w:val="HTML Preformatted"/>
    <w:basedOn w:val="a"/>
    <w:link w:val="HTML0"/>
    <w:uiPriority w:val="99"/>
    <w:semiHidden/>
    <w:unhideWhenUsed/>
    <w:rsid w:val="00CD7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D75EE"/>
    <w:rPr>
      <w:rFonts w:ascii="Courier New" w:eastAsia="Times New Roman" w:hAnsi="Courier New" w:cs="Courier New"/>
      <w:sz w:val="20"/>
      <w:szCs w:val="20"/>
      <w:lang w:eastAsia="ru-RU"/>
    </w:rPr>
  </w:style>
  <w:style w:type="character" w:customStyle="1" w:styleId="layout">
    <w:name w:val="layout"/>
    <w:basedOn w:val="a0"/>
    <w:rsid w:val="00CD75EE"/>
  </w:style>
  <w:style w:type="character" w:customStyle="1" w:styleId="y2iqfc">
    <w:name w:val="y2iqfc"/>
    <w:basedOn w:val="a0"/>
    <w:rsid w:val="00CD75EE"/>
  </w:style>
  <w:style w:type="character" w:customStyle="1" w:styleId="markedcontent">
    <w:name w:val="markedcontent"/>
    <w:basedOn w:val="a0"/>
    <w:rsid w:val="00CD75EE"/>
  </w:style>
  <w:style w:type="character" w:styleId="a9">
    <w:name w:val="Hyperlink"/>
    <w:basedOn w:val="a0"/>
    <w:uiPriority w:val="99"/>
    <w:unhideWhenUsed/>
    <w:rsid w:val="00ED507D"/>
    <w:rPr>
      <w:color w:val="0000FF" w:themeColor="hyperlink"/>
      <w:u w:val="single"/>
    </w:rPr>
  </w:style>
  <w:style w:type="paragraph" w:styleId="aa">
    <w:name w:val="footnote text"/>
    <w:basedOn w:val="a"/>
    <w:link w:val="ab"/>
    <w:uiPriority w:val="99"/>
    <w:unhideWhenUsed/>
    <w:rsid w:val="00843A57"/>
    <w:pPr>
      <w:spacing w:after="0" w:line="240" w:lineRule="auto"/>
    </w:pPr>
    <w:rPr>
      <w:sz w:val="20"/>
      <w:szCs w:val="20"/>
    </w:rPr>
  </w:style>
  <w:style w:type="character" w:customStyle="1" w:styleId="ab">
    <w:name w:val="Текст сноски Знак"/>
    <w:basedOn w:val="a0"/>
    <w:link w:val="aa"/>
    <w:uiPriority w:val="99"/>
    <w:rsid w:val="00843A57"/>
    <w:rPr>
      <w:sz w:val="20"/>
      <w:szCs w:val="20"/>
    </w:rPr>
  </w:style>
  <w:style w:type="paragraph" w:styleId="ac">
    <w:name w:val="Normal (Web)"/>
    <w:basedOn w:val="a"/>
    <w:uiPriority w:val="99"/>
    <w:unhideWhenUsed/>
    <w:rsid w:val="00DA7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DA7178"/>
    <w:rPr>
      <w:b/>
      <w:bCs/>
    </w:rPr>
  </w:style>
  <w:style w:type="paragraph" w:customStyle="1" w:styleId="c4">
    <w:name w:val="c4"/>
    <w:basedOn w:val="a"/>
    <w:rsid w:val="00DA71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A7178"/>
  </w:style>
  <w:style w:type="table" w:styleId="ae">
    <w:name w:val="Table Grid"/>
    <w:basedOn w:val="a1"/>
    <w:uiPriority w:val="59"/>
    <w:unhideWhenUsed/>
    <w:rsid w:val="0015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otnote reference"/>
    <w:basedOn w:val="a0"/>
    <w:uiPriority w:val="99"/>
    <w:semiHidden/>
    <w:unhideWhenUsed/>
    <w:rsid w:val="001577A3"/>
    <w:rPr>
      <w:vertAlign w:val="superscript"/>
    </w:rPr>
  </w:style>
  <w:style w:type="character" w:customStyle="1" w:styleId="10">
    <w:name w:val="Заголовок 1 Знак"/>
    <w:basedOn w:val="a0"/>
    <w:link w:val="1"/>
    <w:uiPriority w:val="9"/>
    <w:rsid w:val="00792117"/>
    <w:rPr>
      <w:rFonts w:ascii="Times New Roman" w:hAnsi="Times New Roman" w:cs="Times New Roman"/>
      <w:b/>
      <w:sz w:val="28"/>
      <w:u w:val="single"/>
      <w:lang w:val="be-BY"/>
    </w:rPr>
  </w:style>
  <w:style w:type="character" w:styleId="af0">
    <w:name w:val="Emphasis"/>
    <w:basedOn w:val="a0"/>
    <w:uiPriority w:val="20"/>
    <w:qFormat/>
    <w:rsid w:val="009D62C8"/>
    <w:rPr>
      <w:i/>
      <w:iCs/>
    </w:rPr>
  </w:style>
  <w:style w:type="paragraph" w:customStyle="1" w:styleId="af1">
    <w:name w:val="нирс"/>
    <w:basedOn w:val="a"/>
    <w:link w:val="af2"/>
    <w:qFormat/>
    <w:rsid w:val="00E51752"/>
    <w:pPr>
      <w:spacing w:after="0" w:line="240" w:lineRule="auto"/>
      <w:ind w:firstLine="709"/>
      <w:jc w:val="both"/>
    </w:pPr>
    <w:rPr>
      <w:rFonts w:ascii="Times New Roman" w:hAnsi="Times New Roman" w:cs="Times New Roman"/>
      <w:sz w:val="28"/>
      <w:szCs w:val="28"/>
    </w:rPr>
  </w:style>
  <w:style w:type="character" w:customStyle="1" w:styleId="af2">
    <w:name w:val="нирс Знак"/>
    <w:basedOn w:val="a0"/>
    <w:link w:val="af1"/>
    <w:rsid w:val="00E51752"/>
    <w:rPr>
      <w:rFonts w:ascii="Times New Roman" w:hAnsi="Times New Roman" w:cs="Times New Roman"/>
      <w:sz w:val="28"/>
      <w:szCs w:val="28"/>
    </w:rPr>
  </w:style>
  <w:style w:type="paragraph" w:styleId="af3">
    <w:name w:val="No Spacing"/>
    <w:uiPriority w:val="1"/>
    <w:qFormat/>
    <w:rsid w:val="00086A44"/>
    <w:pPr>
      <w:spacing w:after="0" w:line="240" w:lineRule="auto"/>
    </w:pPr>
  </w:style>
  <w:style w:type="paragraph" w:styleId="af4">
    <w:name w:val="annotation text"/>
    <w:basedOn w:val="a"/>
    <w:link w:val="af5"/>
    <w:uiPriority w:val="99"/>
    <w:unhideWhenUsed/>
    <w:rsid w:val="00086A44"/>
    <w:pPr>
      <w:spacing w:after="160" w:line="240" w:lineRule="auto"/>
    </w:pPr>
    <w:rPr>
      <w:sz w:val="20"/>
      <w:szCs w:val="20"/>
    </w:rPr>
  </w:style>
  <w:style w:type="character" w:customStyle="1" w:styleId="af5">
    <w:name w:val="Текст примечания Знак"/>
    <w:basedOn w:val="a0"/>
    <w:link w:val="af4"/>
    <w:uiPriority w:val="99"/>
    <w:rsid w:val="00086A44"/>
    <w:rPr>
      <w:sz w:val="20"/>
      <w:szCs w:val="20"/>
    </w:rPr>
  </w:style>
  <w:style w:type="character" w:customStyle="1" w:styleId="fontstyle21">
    <w:name w:val="fontstyle21"/>
    <w:basedOn w:val="a0"/>
    <w:rsid w:val="005D3541"/>
    <w:rPr>
      <w:rFonts w:ascii="Times New Roman" w:hAnsi="Times New Roman" w:cs="Times New Roman" w:hint="default"/>
      <w:b w:val="0"/>
      <w:bCs w:val="0"/>
      <w:i w:val="0"/>
      <w:iCs w:val="0"/>
      <w:color w:val="000000"/>
      <w:sz w:val="30"/>
      <w:szCs w:val="30"/>
    </w:rPr>
  </w:style>
  <w:style w:type="paragraph" w:styleId="af6">
    <w:name w:val="Body Text"/>
    <w:basedOn w:val="a"/>
    <w:link w:val="af7"/>
    <w:uiPriority w:val="1"/>
    <w:semiHidden/>
    <w:unhideWhenUsed/>
    <w:qFormat/>
    <w:rsid w:val="000C6760"/>
    <w:pPr>
      <w:widowControl w:val="0"/>
      <w:autoSpaceDE w:val="0"/>
      <w:autoSpaceDN w:val="0"/>
      <w:spacing w:after="0" w:line="240" w:lineRule="auto"/>
      <w:ind w:left="199"/>
      <w:jc w:val="both"/>
    </w:pPr>
    <w:rPr>
      <w:rFonts w:ascii="Times New Roman" w:eastAsia="Times New Roman" w:hAnsi="Times New Roman" w:cs="Times New Roman"/>
      <w:sz w:val="21"/>
      <w:szCs w:val="21"/>
    </w:rPr>
  </w:style>
  <w:style w:type="character" w:customStyle="1" w:styleId="af7">
    <w:name w:val="Основной текст Знак"/>
    <w:basedOn w:val="a0"/>
    <w:link w:val="af6"/>
    <w:uiPriority w:val="1"/>
    <w:semiHidden/>
    <w:rsid w:val="000C6760"/>
    <w:rPr>
      <w:rFonts w:ascii="Times New Roman" w:eastAsia="Times New Roman" w:hAnsi="Times New Roman" w:cs="Times New Roman"/>
      <w:sz w:val="21"/>
      <w:szCs w:val="21"/>
    </w:rPr>
  </w:style>
  <w:style w:type="character" w:customStyle="1" w:styleId="20">
    <w:name w:val="Заголовок 2 Знак"/>
    <w:basedOn w:val="a0"/>
    <w:link w:val="2"/>
    <w:uiPriority w:val="9"/>
    <w:rsid w:val="00792117"/>
    <w:rPr>
      <w:rFonts w:ascii="Times New Roman" w:hAnsi="Times New Roman" w:cs="Times New Roman"/>
      <w:b/>
      <w:sz w:val="28"/>
      <w:lang w:val="be-BY"/>
    </w:rPr>
  </w:style>
  <w:style w:type="paragraph" w:styleId="af8">
    <w:name w:val="TOC Heading"/>
    <w:basedOn w:val="1"/>
    <w:next w:val="a"/>
    <w:uiPriority w:val="39"/>
    <w:unhideWhenUsed/>
    <w:qFormat/>
    <w:rsid w:val="005A4D1F"/>
    <w:pPr>
      <w:keepNext/>
      <w:keepLines/>
      <w:spacing w:before="480" w:line="276" w:lineRule="auto"/>
      <w:jc w:val="left"/>
      <w:outlineLvl w:val="9"/>
    </w:pPr>
    <w:rPr>
      <w:rFonts w:asciiTheme="majorHAnsi" w:eastAsiaTheme="majorEastAsia" w:hAnsiTheme="majorHAnsi" w:cstheme="majorBidi"/>
      <w:bCs/>
      <w:color w:val="365F91" w:themeColor="accent1" w:themeShade="BF"/>
      <w:szCs w:val="28"/>
      <w:u w:val="none"/>
      <w:lang w:val="ru-RU" w:eastAsia="ru-RU"/>
    </w:rPr>
  </w:style>
  <w:style w:type="paragraph" w:styleId="11">
    <w:name w:val="toc 1"/>
    <w:basedOn w:val="a"/>
    <w:next w:val="a"/>
    <w:autoRedefine/>
    <w:uiPriority w:val="39"/>
    <w:unhideWhenUsed/>
    <w:qFormat/>
    <w:rsid w:val="00FC7139"/>
    <w:pPr>
      <w:tabs>
        <w:tab w:val="right" w:leader="dot" w:pos="9060"/>
      </w:tabs>
      <w:spacing w:after="0" w:line="240" w:lineRule="auto"/>
    </w:pPr>
    <w:rPr>
      <w:rFonts w:ascii="Times New Roman" w:eastAsiaTheme="minorEastAsia" w:hAnsi="Times New Roman" w:cs="Times New Roman"/>
      <w:noProof/>
      <w:sz w:val="28"/>
      <w:szCs w:val="28"/>
      <w:u w:val="single"/>
      <w:lang w:eastAsia="ru-RU"/>
    </w:rPr>
  </w:style>
  <w:style w:type="paragraph" w:styleId="21">
    <w:name w:val="toc 2"/>
    <w:basedOn w:val="a"/>
    <w:next w:val="a"/>
    <w:autoRedefine/>
    <w:uiPriority w:val="39"/>
    <w:unhideWhenUsed/>
    <w:qFormat/>
    <w:rsid w:val="00A52369"/>
    <w:pPr>
      <w:tabs>
        <w:tab w:val="right" w:leader="dot" w:pos="9060"/>
      </w:tabs>
      <w:spacing w:after="0" w:line="240" w:lineRule="auto"/>
    </w:pPr>
    <w:rPr>
      <w:rFonts w:ascii="Times New Roman" w:hAnsi="Times New Roman" w:cs="Times New Roman"/>
      <w:noProof/>
      <w:sz w:val="28"/>
      <w:szCs w:val="28"/>
    </w:rPr>
  </w:style>
  <w:style w:type="paragraph" w:styleId="af9">
    <w:name w:val="Balloon Text"/>
    <w:basedOn w:val="a"/>
    <w:link w:val="afa"/>
    <w:uiPriority w:val="99"/>
    <w:semiHidden/>
    <w:unhideWhenUsed/>
    <w:rsid w:val="005A4D1F"/>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A4D1F"/>
    <w:rPr>
      <w:rFonts w:ascii="Tahoma" w:hAnsi="Tahoma" w:cs="Tahoma"/>
      <w:sz w:val="16"/>
      <w:szCs w:val="16"/>
    </w:rPr>
  </w:style>
  <w:style w:type="character" w:styleId="afb">
    <w:name w:val="FollowedHyperlink"/>
    <w:basedOn w:val="a0"/>
    <w:uiPriority w:val="99"/>
    <w:semiHidden/>
    <w:unhideWhenUsed/>
    <w:rsid w:val="00E47AFD"/>
    <w:rPr>
      <w:color w:val="800080" w:themeColor="followedHyperlink"/>
      <w:u w:val="single"/>
    </w:rPr>
  </w:style>
  <w:style w:type="paragraph" w:customStyle="1" w:styleId="12">
    <w:name w:val="1_УДК"/>
    <w:basedOn w:val="a"/>
    <w:link w:val="13"/>
    <w:qFormat/>
    <w:rsid w:val="00CC0B6B"/>
    <w:pPr>
      <w:spacing w:after="0" w:line="240" w:lineRule="auto"/>
      <w:ind w:firstLine="709"/>
    </w:pPr>
    <w:rPr>
      <w:rFonts w:ascii="Times New Roman" w:hAnsi="Times New Roman" w:cs="Times New Roman"/>
      <w:sz w:val="28"/>
      <w:lang w:val="be-BY"/>
    </w:rPr>
  </w:style>
  <w:style w:type="paragraph" w:customStyle="1" w:styleId="14">
    <w:name w:val="1_ФИО"/>
    <w:basedOn w:val="2"/>
    <w:link w:val="15"/>
    <w:qFormat/>
    <w:rsid w:val="00237BAE"/>
    <w:rPr>
      <w:caps/>
    </w:rPr>
  </w:style>
  <w:style w:type="character" w:customStyle="1" w:styleId="13">
    <w:name w:val="1_УДК Знак"/>
    <w:basedOn w:val="a0"/>
    <w:link w:val="12"/>
    <w:rsid w:val="00CC0B6B"/>
    <w:rPr>
      <w:rFonts w:ascii="Times New Roman" w:hAnsi="Times New Roman" w:cs="Times New Roman"/>
      <w:sz w:val="28"/>
      <w:lang w:val="be-BY"/>
    </w:rPr>
  </w:style>
  <w:style w:type="paragraph" w:customStyle="1" w:styleId="3">
    <w:name w:val="3_Учреждение"/>
    <w:basedOn w:val="a"/>
    <w:link w:val="30"/>
    <w:qFormat/>
    <w:rsid w:val="00CC0B6B"/>
    <w:pPr>
      <w:spacing w:after="0" w:line="240" w:lineRule="auto"/>
      <w:ind w:firstLine="709"/>
    </w:pPr>
    <w:rPr>
      <w:rFonts w:ascii="Times New Roman" w:hAnsi="Times New Roman" w:cs="Times New Roman"/>
      <w:sz w:val="28"/>
    </w:rPr>
  </w:style>
  <w:style w:type="character" w:customStyle="1" w:styleId="15">
    <w:name w:val="1_ФИО Знак"/>
    <w:basedOn w:val="20"/>
    <w:link w:val="14"/>
    <w:rsid w:val="00BC2E92"/>
    <w:rPr>
      <w:rFonts w:ascii="Times New Roman" w:hAnsi="Times New Roman" w:cs="Times New Roman"/>
      <w:b/>
      <w:caps/>
      <w:sz w:val="28"/>
      <w:lang w:val="be-BY"/>
    </w:rPr>
  </w:style>
  <w:style w:type="paragraph" w:customStyle="1" w:styleId="4">
    <w:name w:val="4_Науч.рук"/>
    <w:basedOn w:val="a"/>
    <w:link w:val="40"/>
    <w:qFormat/>
    <w:rsid w:val="00CC0B6B"/>
    <w:pPr>
      <w:spacing w:after="0" w:line="240" w:lineRule="auto"/>
      <w:ind w:left="708" w:firstLine="1"/>
      <w:jc w:val="both"/>
    </w:pPr>
    <w:rPr>
      <w:rFonts w:ascii="Times New Roman" w:hAnsi="Times New Roman" w:cs="Times New Roman"/>
      <w:i/>
      <w:sz w:val="28"/>
      <w:lang w:val="be-BY"/>
    </w:rPr>
  </w:style>
  <w:style w:type="character" w:customStyle="1" w:styleId="30">
    <w:name w:val="3_Учреждение Знак"/>
    <w:basedOn w:val="a0"/>
    <w:link w:val="3"/>
    <w:rsid w:val="00CC0B6B"/>
    <w:rPr>
      <w:rFonts w:ascii="Times New Roman" w:hAnsi="Times New Roman" w:cs="Times New Roman"/>
      <w:sz w:val="28"/>
    </w:rPr>
  </w:style>
  <w:style w:type="paragraph" w:customStyle="1" w:styleId="5">
    <w:name w:val="5_Назв"/>
    <w:basedOn w:val="a"/>
    <w:link w:val="50"/>
    <w:qFormat/>
    <w:rsid w:val="00C8031F"/>
    <w:pPr>
      <w:spacing w:after="0" w:line="240" w:lineRule="auto"/>
      <w:ind w:left="708" w:firstLine="1"/>
    </w:pPr>
    <w:rPr>
      <w:rFonts w:ascii="Times New Roman" w:hAnsi="Times New Roman" w:cs="Times New Roman"/>
      <w:b/>
      <w:caps/>
      <w:sz w:val="28"/>
      <w:szCs w:val="28"/>
    </w:rPr>
  </w:style>
  <w:style w:type="character" w:customStyle="1" w:styleId="40">
    <w:name w:val="4_Науч.рук Знак"/>
    <w:basedOn w:val="a0"/>
    <w:link w:val="4"/>
    <w:rsid w:val="00CC0B6B"/>
    <w:rPr>
      <w:rFonts w:ascii="Times New Roman" w:hAnsi="Times New Roman" w:cs="Times New Roman"/>
      <w:i/>
      <w:sz w:val="28"/>
      <w:lang w:val="be-BY"/>
    </w:rPr>
  </w:style>
  <w:style w:type="paragraph" w:customStyle="1" w:styleId="6">
    <w:name w:val="6_Аннот"/>
    <w:basedOn w:val="Standard"/>
    <w:link w:val="60"/>
    <w:qFormat/>
    <w:rsid w:val="00CC0B6B"/>
    <w:pPr>
      <w:ind w:firstLine="709"/>
      <w:jc w:val="both"/>
    </w:pPr>
    <w:rPr>
      <w:rFonts w:ascii="Times New Roman" w:hAnsi="Times New Roman"/>
      <w:i/>
      <w:spacing w:val="-2"/>
      <w:szCs w:val="28"/>
      <w:lang w:val="be-BY"/>
    </w:rPr>
  </w:style>
  <w:style w:type="character" w:customStyle="1" w:styleId="50">
    <w:name w:val="5_Назв Знак"/>
    <w:basedOn w:val="a0"/>
    <w:link w:val="5"/>
    <w:rsid w:val="00C8031F"/>
    <w:rPr>
      <w:rFonts w:ascii="Times New Roman" w:hAnsi="Times New Roman" w:cs="Times New Roman"/>
      <w:b/>
      <w:caps/>
      <w:sz w:val="28"/>
      <w:szCs w:val="28"/>
    </w:rPr>
  </w:style>
  <w:style w:type="paragraph" w:customStyle="1" w:styleId="7">
    <w:name w:val="7_текст"/>
    <w:basedOn w:val="a7"/>
    <w:link w:val="70"/>
    <w:qFormat/>
    <w:rsid w:val="00CC0B6B"/>
    <w:pPr>
      <w:spacing w:after="0" w:line="240" w:lineRule="auto"/>
      <w:ind w:left="0" w:firstLine="709"/>
      <w:jc w:val="both"/>
    </w:pPr>
    <w:rPr>
      <w:rFonts w:ascii="Times New Roman" w:hAnsi="Times New Roman" w:cs="Times New Roman"/>
      <w:sz w:val="28"/>
      <w:szCs w:val="28"/>
    </w:rPr>
  </w:style>
  <w:style w:type="character" w:customStyle="1" w:styleId="Standard0">
    <w:name w:val="Standard Знак"/>
    <w:basedOn w:val="a0"/>
    <w:link w:val="Standard"/>
    <w:rsid w:val="00CC0B6B"/>
    <w:rPr>
      <w:rFonts w:ascii="Liberation Serif" w:eastAsia="SimSun" w:hAnsi="Liberation Serif" w:cs="Mangal"/>
      <w:kern w:val="3"/>
      <w:sz w:val="24"/>
      <w:szCs w:val="24"/>
      <w:lang w:val="en-US" w:eastAsia="zh-CN" w:bidi="hi-IN"/>
    </w:rPr>
  </w:style>
  <w:style w:type="character" w:customStyle="1" w:styleId="60">
    <w:name w:val="6_Аннот Знак"/>
    <w:basedOn w:val="Standard0"/>
    <w:link w:val="6"/>
    <w:rsid w:val="00CC0B6B"/>
    <w:rPr>
      <w:rFonts w:ascii="Times New Roman" w:eastAsia="SimSun" w:hAnsi="Times New Roman" w:cs="Mangal"/>
      <w:i/>
      <w:spacing w:val="-2"/>
      <w:kern w:val="3"/>
      <w:sz w:val="24"/>
      <w:szCs w:val="28"/>
      <w:lang w:val="be-BY" w:eastAsia="zh-CN" w:bidi="hi-IN"/>
    </w:rPr>
  </w:style>
  <w:style w:type="paragraph" w:customStyle="1" w:styleId="8">
    <w:name w:val="8_источн"/>
    <w:basedOn w:val="a7"/>
    <w:link w:val="80"/>
    <w:qFormat/>
    <w:rsid w:val="00CC0B6B"/>
    <w:pPr>
      <w:numPr>
        <w:numId w:val="4"/>
      </w:numPr>
      <w:spacing w:after="0" w:line="240" w:lineRule="auto"/>
      <w:ind w:left="0" w:firstLine="709"/>
      <w:jc w:val="both"/>
    </w:pPr>
    <w:rPr>
      <w:rFonts w:ascii="Times New Roman" w:hAnsi="Times New Roman" w:cs="Times New Roman"/>
      <w:sz w:val="24"/>
      <w:szCs w:val="24"/>
      <w:lang w:val="be-BY"/>
    </w:rPr>
  </w:style>
  <w:style w:type="character" w:customStyle="1" w:styleId="a8">
    <w:name w:val="Абзац списка Знак"/>
    <w:basedOn w:val="a0"/>
    <w:link w:val="a7"/>
    <w:rsid w:val="00CC0B6B"/>
  </w:style>
  <w:style w:type="character" w:customStyle="1" w:styleId="70">
    <w:name w:val="7_текст Знак"/>
    <w:basedOn w:val="a8"/>
    <w:link w:val="7"/>
    <w:rsid w:val="00CC0B6B"/>
    <w:rPr>
      <w:rFonts w:ascii="Times New Roman" w:hAnsi="Times New Roman" w:cs="Times New Roman"/>
      <w:sz w:val="28"/>
      <w:szCs w:val="28"/>
    </w:rPr>
  </w:style>
  <w:style w:type="character" w:customStyle="1" w:styleId="datepr">
    <w:name w:val="datepr"/>
    <w:basedOn w:val="a0"/>
    <w:rsid w:val="004278CE"/>
  </w:style>
  <w:style w:type="character" w:customStyle="1" w:styleId="80">
    <w:name w:val="8_источн Знак"/>
    <w:basedOn w:val="a8"/>
    <w:link w:val="8"/>
    <w:rsid w:val="00CC0B6B"/>
    <w:rPr>
      <w:rFonts w:ascii="Times New Roman" w:hAnsi="Times New Roman" w:cs="Times New Roman"/>
      <w:sz w:val="24"/>
      <w:szCs w:val="24"/>
      <w:lang w:val="be-BY"/>
    </w:rPr>
  </w:style>
  <w:style w:type="character" w:customStyle="1" w:styleId="number">
    <w:name w:val="number"/>
    <w:basedOn w:val="a0"/>
    <w:rsid w:val="004278CE"/>
  </w:style>
  <w:style w:type="character" w:customStyle="1" w:styleId="name">
    <w:name w:val="name"/>
    <w:basedOn w:val="a0"/>
    <w:rsid w:val="004278CE"/>
  </w:style>
  <w:style w:type="character" w:customStyle="1" w:styleId="promulgator">
    <w:name w:val="promulgator"/>
    <w:basedOn w:val="a0"/>
    <w:rsid w:val="004278CE"/>
  </w:style>
  <w:style w:type="character" w:customStyle="1" w:styleId="A20">
    <w:name w:val="A2"/>
    <w:rsid w:val="00706E58"/>
    <w:rPr>
      <w:rFonts w:ascii="Times New Roman" w:eastAsia="Times New Roman" w:hAnsi="Times New Roman" w:cs="Times New Roman" w:hint="default"/>
      <w:color w:val="000000"/>
      <w:sz w:val="20"/>
      <w:szCs w:val="20"/>
    </w:rPr>
  </w:style>
  <w:style w:type="paragraph" w:styleId="afc">
    <w:name w:val="Title"/>
    <w:basedOn w:val="a"/>
    <w:next w:val="a"/>
    <w:link w:val="afd"/>
    <w:uiPriority w:val="10"/>
    <w:qFormat/>
    <w:rsid w:val="003356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basedOn w:val="a0"/>
    <w:link w:val="afc"/>
    <w:uiPriority w:val="10"/>
    <w:rsid w:val="00335685"/>
    <w:rPr>
      <w:rFonts w:asciiTheme="majorHAnsi" w:eastAsiaTheme="majorEastAsia" w:hAnsiTheme="majorHAnsi" w:cstheme="majorBidi"/>
      <w:spacing w:val="-10"/>
      <w:kern w:val="28"/>
      <w:sz w:val="56"/>
      <w:szCs w:val="56"/>
    </w:rPr>
  </w:style>
  <w:style w:type="character" w:customStyle="1" w:styleId="afe">
    <w:name w:val="обычный Знак"/>
    <w:basedOn w:val="a0"/>
    <w:link w:val="aff"/>
    <w:locked/>
    <w:rsid w:val="002532D0"/>
    <w:rPr>
      <w:rFonts w:ascii="Times New Roman" w:hAnsi="Times New Roman" w:cs="Times New Roman"/>
      <w:sz w:val="28"/>
      <w:szCs w:val="32"/>
    </w:rPr>
  </w:style>
  <w:style w:type="paragraph" w:customStyle="1" w:styleId="aff">
    <w:name w:val="обычный"/>
    <w:basedOn w:val="a"/>
    <w:link w:val="afe"/>
    <w:qFormat/>
    <w:rsid w:val="002532D0"/>
    <w:rPr>
      <w:rFonts w:ascii="Times New Roman" w:hAnsi="Times New Roman" w:cs="Times New Roman"/>
      <w:sz w:val="28"/>
      <w:szCs w:val="32"/>
    </w:rPr>
  </w:style>
  <w:style w:type="character" w:customStyle="1" w:styleId="0">
    <w:name w:val="Обычный 0 Знак"/>
    <w:basedOn w:val="afe"/>
    <w:link w:val="00"/>
    <w:locked/>
    <w:rsid w:val="002532D0"/>
    <w:rPr>
      <w:rFonts w:ascii="Times New Roman" w:hAnsi="Times New Roman" w:cs="Times New Roman"/>
      <w:sz w:val="28"/>
      <w:szCs w:val="32"/>
    </w:rPr>
  </w:style>
  <w:style w:type="paragraph" w:customStyle="1" w:styleId="00">
    <w:name w:val="Обычный 0"/>
    <w:basedOn w:val="aff"/>
    <w:link w:val="0"/>
    <w:rsid w:val="002532D0"/>
    <w:pPr>
      <w:jc w:val="both"/>
    </w:pPr>
  </w:style>
  <w:style w:type="character" w:customStyle="1" w:styleId="16">
    <w:name w:val="Стиль1 Знак"/>
    <w:basedOn w:val="0"/>
    <w:link w:val="17"/>
    <w:locked/>
    <w:rsid w:val="002532D0"/>
    <w:rPr>
      <w:rFonts w:ascii="Times New Roman" w:hAnsi="Times New Roman" w:cs="Times New Roman"/>
      <w:color w:val="000000" w:themeColor="text1"/>
      <w:sz w:val="28"/>
      <w:szCs w:val="32"/>
    </w:rPr>
  </w:style>
  <w:style w:type="paragraph" w:customStyle="1" w:styleId="17">
    <w:name w:val="Стиль1"/>
    <w:basedOn w:val="00"/>
    <w:link w:val="16"/>
    <w:qFormat/>
    <w:rsid w:val="002532D0"/>
    <w:pPr>
      <w:spacing w:after="0" w:line="240" w:lineRule="auto"/>
      <w:ind w:firstLine="284"/>
    </w:pPr>
    <w:rPr>
      <w:color w:val="000000" w:themeColor="text1"/>
    </w:rPr>
  </w:style>
  <w:style w:type="paragraph" w:styleId="aff0">
    <w:name w:val="caption"/>
    <w:basedOn w:val="a"/>
    <w:next w:val="a"/>
    <w:uiPriority w:val="35"/>
    <w:unhideWhenUsed/>
    <w:qFormat/>
    <w:rsid w:val="00A16150"/>
    <w:pPr>
      <w:spacing w:line="240" w:lineRule="auto"/>
    </w:pPr>
    <w:rPr>
      <w:i/>
      <w:iCs/>
      <w:color w:val="1F497D" w:themeColor="text2"/>
      <w:sz w:val="18"/>
      <w:szCs w:val="18"/>
    </w:rPr>
  </w:style>
  <w:style w:type="paragraph" w:styleId="31">
    <w:name w:val="toc 3"/>
    <w:basedOn w:val="a"/>
    <w:next w:val="a"/>
    <w:autoRedefine/>
    <w:uiPriority w:val="39"/>
    <w:semiHidden/>
    <w:unhideWhenUsed/>
    <w:qFormat/>
    <w:rsid w:val="0025704E"/>
    <w:pPr>
      <w:spacing w:after="100"/>
      <w:ind w:left="440"/>
    </w:pPr>
    <w:rPr>
      <w:rFonts w:eastAsiaTheme="minorEastAsia"/>
      <w:lang w:eastAsia="ru-RU"/>
    </w:rPr>
  </w:style>
  <w:style w:type="character" w:customStyle="1" w:styleId="18">
    <w:name w:val="Неразрешенное упоминание1"/>
    <w:basedOn w:val="a0"/>
    <w:uiPriority w:val="99"/>
    <w:semiHidden/>
    <w:unhideWhenUsed/>
    <w:rsid w:val="004C797D"/>
    <w:rPr>
      <w:color w:val="605E5C"/>
      <w:shd w:val="clear" w:color="auto" w:fill="E1DFDD"/>
    </w:rPr>
  </w:style>
  <w:style w:type="character" w:customStyle="1" w:styleId="22">
    <w:name w:val="Неразрешенное упоминание2"/>
    <w:basedOn w:val="a0"/>
    <w:uiPriority w:val="99"/>
    <w:semiHidden/>
    <w:unhideWhenUsed/>
    <w:rsid w:val="00EC3E2B"/>
    <w:rPr>
      <w:color w:val="605E5C"/>
      <w:shd w:val="clear" w:color="auto" w:fill="E1DFDD"/>
    </w:rPr>
  </w:style>
  <w:style w:type="paragraph" w:styleId="aff1">
    <w:name w:val="endnote text"/>
    <w:basedOn w:val="a"/>
    <w:link w:val="aff2"/>
    <w:uiPriority w:val="99"/>
    <w:semiHidden/>
    <w:unhideWhenUsed/>
    <w:rsid w:val="00F044A4"/>
    <w:pPr>
      <w:spacing w:after="0" w:line="240" w:lineRule="auto"/>
    </w:pPr>
    <w:rPr>
      <w:rFonts w:ascii="Times New Roman" w:hAnsi="Times New Roman"/>
      <w:sz w:val="20"/>
      <w:szCs w:val="20"/>
    </w:rPr>
  </w:style>
  <w:style w:type="character" w:customStyle="1" w:styleId="aff2">
    <w:name w:val="Текст концевой сноски Знак"/>
    <w:basedOn w:val="a0"/>
    <w:link w:val="aff1"/>
    <w:uiPriority w:val="99"/>
    <w:semiHidden/>
    <w:rsid w:val="00F044A4"/>
    <w:rPr>
      <w:rFonts w:ascii="Times New Roman" w:hAnsi="Times New Roman"/>
      <w:sz w:val="20"/>
      <w:szCs w:val="20"/>
    </w:rPr>
  </w:style>
  <w:style w:type="paragraph" w:styleId="aff3">
    <w:name w:val="Subtitle"/>
    <w:basedOn w:val="a"/>
    <w:next w:val="a"/>
    <w:link w:val="aff4"/>
    <w:uiPriority w:val="11"/>
    <w:qFormat/>
    <w:rsid w:val="002A6368"/>
    <w:rPr>
      <w:rFonts w:asciiTheme="majorHAnsi" w:eastAsiaTheme="majorEastAsia" w:hAnsiTheme="majorHAnsi" w:cstheme="majorBidi"/>
      <w:i/>
      <w:iCs/>
      <w:color w:val="4F81BD" w:themeColor="accent1"/>
      <w:spacing w:val="15"/>
      <w:sz w:val="24"/>
      <w:szCs w:val="24"/>
      <w:lang w:eastAsia="ru-RU"/>
    </w:rPr>
  </w:style>
  <w:style w:type="character" w:customStyle="1" w:styleId="aff4">
    <w:name w:val="Подзаголовок Знак"/>
    <w:basedOn w:val="a0"/>
    <w:link w:val="aff3"/>
    <w:uiPriority w:val="11"/>
    <w:rsid w:val="002A6368"/>
    <w:rPr>
      <w:rFonts w:asciiTheme="majorHAnsi" w:eastAsiaTheme="majorEastAsia" w:hAnsiTheme="majorHAnsi" w:cstheme="majorBidi"/>
      <w:i/>
      <w:iCs/>
      <w:color w:val="4F81BD" w:themeColor="accent1"/>
      <w:spacing w:val="15"/>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140">
      <w:bodyDiv w:val="1"/>
      <w:marLeft w:val="0"/>
      <w:marRight w:val="0"/>
      <w:marTop w:val="0"/>
      <w:marBottom w:val="0"/>
      <w:divBdr>
        <w:top w:val="none" w:sz="0" w:space="0" w:color="auto"/>
        <w:left w:val="none" w:sz="0" w:space="0" w:color="auto"/>
        <w:bottom w:val="none" w:sz="0" w:space="0" w:color="auto"/>
        <w:right w:val="none" w:sz="0" w:space="0" w:color="auto"/>
      </w:divBdr>
    </w:div>
    <w:div w:id="5251538">
      <w:bodyDiv w:val="1"/>
      <w:marLeft w:val="0"/>
      <w:marRight w:val="0"/>
      <w:marTop w:val="0"/>
      <w:marBottom w:val="0"/>
      <w:divBdr>
        <w:top w:val="none" w:sz="0" w:space="0" w:color="auto"/>
        <w:left w:val="none" w:sz="0" w:space="0" w:color="auto"/>
        <w:bottom w:val="none" w:sz="0" w:space="0" w:color="auto"/>
        <w:right w:val="none" w:sz="0" w:space="0" w:color="auto"/>
      </w:divBdr>
    </w:div>
    <w:div w:id="39479125">
      <w:bodyDiv w:val="1"/>
      <w:marLeft w:val="0"/>
      <w:marRight w:val="0"/>
      <w:marTop w:val="0"/>
      <w:marBottom w:val="0"/>
      <w:divBdr>
        <w:top w:val="none" w:sz="0" w:space="0" w:color="auto"/>
        <w:left w:val="none" w:sz="0" w:space="0" w:color="auto"/>
        <w:bottom w:val="none" w:sz="0" w:space="0" w:color="auto"/>
        <w:right w:val="none" w:sz="0" w:space="0" w:color="auto"/>
      </w:divBdr>
    </w:div>
    <w:div w:id="47607238">
      <w:bodyDiv w:val="1"/>
      <w:marLeft w:val="0"/>
      <w:marRight w:val="0"/>
      <w:marTop w:val="0"/>
      <w:marBottom w:val="0"/>
      <w:divBdr>
        <w:top w:val="none" w:sz="0" w:space="0" w:color="auto"/>
        <w:left w:val="none" w:sz="0" w:space="0" w:color="auto"/>
        <w:bottom w:val="none" w:sz="0" w:space="0" w:color="auto"/>
        <w:right w:val="none" w:sz="0" w:space="0" w:color="auto"/>
      </w:divBdr>
    </w:div>
    <w:div w:id="56906761">
      <w:bodyDiv w:val="1"/>
      <w:marLeft w:val="0"/>
      <w:marRight w:val="0"/>
      <w:marTop w:val="0"/>
      <w:marBottom w:val="0"/>
      <w:divBdr>
        <w:top w:val="none" w:sz="0" w:space="0" w:color="auto"/>
        <w:left w:val="none" w:sz="0" w:space="0" w:color="auto"/>
        <w:bottom w:val="none" w:sz="0" w:space="0" w:color="auto"/>
        <w:right w:val="none" w:sz="0" w:space="0" w:color="auto"/>
      </w:divBdr>
    </w:div>
    <w:div w:id="88544517">
      <w:bodyDiv w:val="1"/>
      <w:marLeft w:val="0"/>
      <w:marRight w:val="0"/>
      <w:marTop w:val="0"/>
      <w:marBottom w:val="0"/>
      <w:divBdr>
        <w:top w:val="none" w:sz="0" w:space="0" w:color="auto"/>
        <w:left w:val="none" w:sz="0" w:space="0" w:color="auto"/>
        <w:bottom w:val="none" w:sz="0" w:space="0" w:color="auto"/>
        <w:right w:val="none" w:sz="0" w:space="0" w:color="auto"/>
      </w:divBdr>
    </w:div>
    <w:div w:id="93290124">
      <w:bodyDiv w:val="1"/>
      <w:marLeft w:val="0"/>
      <w:marRight w:val="0"/>
      <w:marTop w:val="0"/>
      <w:marBottom w:val="0"/>
      <w:divBdr>
        <w:top w:val="none" w:sz="0" w:space="0" w:color="auto"/>
        <w:left w:val="none" w:sz="0" w:space="0" w:color="auto"/>
        <w:bottom w:val="none" w:sz="0" w:space="0" w:color="auto"/>
        <w:right w:val="none" w:sz="0" w:space="0" w:color="auto"/>
      </w:divBdr>
    </w:div>
    <w:div w:id="98959430">
      <w:bodyDiv w:val="1"/>
      <w:marLeft w:val="0"/>
      <w:marRight w:val="0"/>
      <w:marTop w:val="0"/>
      <w:marBottom w:val="0"/>
      <w:divBdr>
        <w:top w:val="none" w:sz="0" w:space="0" w:color="auto"/>
        <w:left w:val="none" w:sz="0" w:space="0" w:color="auto"/>
        <w:bottom w:val="none" w:sz="0" w:space="0" w:color="auto"/>
        <w:right w:val="none" w:sz="0" w:space="0" w:color="auto"/>
      </w:divBdr>
    </w:div>
    <w:div w:id="187988494">
      <w:bodyDiv w:val="1"/>
      <w:marLeft w:val="0"/>
      <w:marRight w:val="0"/>
      <w:marTop w:val="0"/>
      <w:marBottom w:val="0"/>
      <w:divBdr>
        <w:top w:val="none" w:sz="0" w:space="0" w:color="auto"/>
        <w:left w:val="none" w:sz="0" w:space="0" w:color="auto"/>
        <w:bottom w:val="none" w:sz="0" w:space="0" w:color="auto"/>
        <w:right w:val="none" w:sz="0" w:space="0" w:color="auto"/>
      </w:divBdr>
    </w:div>
    <w:div w:id="201675237">
      <w:bodyDiv w:val="1"/>
      <w:marLeft w:val="0"/>
      <w:marRight w:val="0"/>
      <w:marTop w:val="0"/>
      <w:marBottom w:val="0"/>
      <w:divBdr>
        <w:top w:val="none" w:sz="0" w:space="0" w:color="auto"/>
        <w:left w:val="none" w:sz="0" w:space="0" w:color="auto"/>
        <w:bottom w:val="none" w:sz="0" w:space="0" w:color="auto"/>
        <w:right w:val="none" w:sz="0" w:space="0" w:color="auto"/>
      </w:divBdr>
    </w:div>
    <w:div w:id="238177763">
      <w:bodyDiv w:val="1"/>
      <w:marLeft w:val="0"/>
      <w:marRight w:val="0"/>
      <w:marTop w:val="0"/>
      <w:marBottom w:val="0"/>
      <w:divBdr>
        <w:top w:val="none" w:sz="0" w:space="0" w:color="auto"/>
        <w:left w:val="none" w:sz="0" w:space="0" w:color="auto"/>
        <w:bottom w:val="none" w:sz="0" w:space="0" w:color="auto"/>
        <w:right w:val="none" w:sz="0" w:space="0" w:color="auto"/>
      </w:divBdr>
    </w:div>
    <w:div w:id="285476173">
      <w:bodyDiv w:val="1"/>
      <w:marLeft w:val="0"/>
      <w:marRight w:val="0"/>
      <w:marTop w:val="0"/>
      <w:marBottom w:val="0"/>
      <w:divBdr>
        <w:top w:val="none" w:sz="0" w:space="0" w:color="auto"/>
        <w:left w:val="none" w:sz="0" w:space="0" w:color="auto"/>
        <w:bottom w:val="none" w:sz="0" w:space="0" w:color="auto"/>
        <w:right w:val="none" w:sz="0" w:space="0" w:color="auto"/>
      </w:divBdr>
    </w:div>
    <w:div w:id="319309214">
      <w:bodyDiv w:val="1"/>
      <w:marLeft w:val="0"/>
      <w:marRight w:val="0"/>
      <w:marTop w:val="0"/>
      <w:marBottom w:val="0"/>
      <w:divBdr>
        <w:top w:val="none" w:sz="0" w:space="0" w:color="auto"/>
        <w:left w:val="none" w:sz="0" w:space="0" w:color="auto"/>
        <w:bottom w:val="none" w:sz="0" w:space="0" w:color="auto"/>
        <w:right w:val="none" w:sz="0" w:space="0" w:color="auto"/>
      </w:divBdr>
    </w:div>
    <w:div w:id="320156309">
      <w:bodyDiv w:val="1"/>
      <w:marLeft w:val="0"/>
      <w:marRight w:val="0"/>
      <w:marTop w:val="0"/>
      <w:marBottom w:val="0"/>
      <w:divBdr>
        <w:top w:val="none" w:sz="0" w:space="0" w:color="auto"/>
        <w:left w:val="none" w:sz="0" w:space="0" w:color="auto"/>
        <w:bottom w:val="none" w:sz="0" w:space="0" w:color="auto"/>
        <w:right w:val="none" w:sz="0" w:space="0" w:color="auto"/>
      </w:divBdr>
    </w:div>
    <w:div w:id="328676856">
      <w:bodyDiv w:val="1"/>
      <w:marLeft w:val="0"/>
      <w:marRight w:val="0"/>
      <w:marTop w:val="0"/>
      <w:marBottom w:val="0"/>
      <w:divBdr>
        <w:top w:val="none" w:sz="0" w:space="0" w:color="auto"/>
        <w:left w:val="none" w:sz="0" w:space="0" w:color="auto"/>
        <w:bottom w:val="none" w:sz="0" w:space="0" w:color="auto"/>
        <w:right w:val="none" w:sz="0" w:space="0" w:color="auto"/>
      </w:divBdr>
    </w:div>
    <w:div w:id="409549316">
      <w:bodyDiv w:val="1"/>
      <w:marLeft w:val="0"/>
      <w:marRight w:val="0"/>
      <w:marTop w:val="0"/>
      <w:marBottom w:val="0"/>
      <w:divBdr>
        <w:top w:val="none" w:sz="0" w:space="0" w:color="auto"/>
        <w:left w:val="none" w:sz="0" w:space="0" w:color="auto"/>
        <w:bottom w:val="none" w:sz="0" w:space="0" w:color="auto"/>
        <w:right w:val="none" w:sz="0" w:space="0" w:color="auto"/>
      </w:divBdr>
    </w:div>
    <w:div w:id="440302443">
      <w:bodyDiv w:val="1"/>
      <w:marLeft w:val="0"/>
      <w:marRight w:val="0"/>
      <w:marTop w:val="0"/>
      <w:marBottom w:val="0"/>
      <w:divBdr>
        <w:top w:val="none" w:sz="0" w:space="0" w:color="auto"/>
        <w:left w:val="none" w:sz="0" w:space="0" w:color="auto"/>
        <w:bottom w:val="none" w:sz="0" w:space="0" w:color="auto"/>
        <w:right w:val="none" w:sz="0" w:space="0" w:color="auto"/>
      </w:divBdr>
    </w:div>
    <w:div w:id="449053745">
      <w:bodyDiv w:val="1"/>
      <w:marLeft w:val="0"/>
      <w:marRight w:val="0"/>
      <w:marTop w:val="0"/>
      <w:marBottom w:val="0"/>
      <w:divBdr>
        <w:top w:val="none" w:sz="0" w:space="0" w:color="auto"/>
        <w:left w:val="none" w:sz="0" w:space="0" w:color="auto"/>
        <w:bottom w:val="none" w:sz="0" w:space="0" w:color="auto"/>
        <w:right w:val="none" w:sz="0" w:space="0" w:color="auto"/>
      </w:divBdr>
    </w:div>
    <w:div w:id="546990399">
      <w:bodyDiv w:val="1"/>
      <w:marLeft w:val="0"/>
      <w:marRight w:val="0"/>
      <w:marTop w:val="0"/>
      <w:marBottom w:val="0"/>
      <w:divBdr>
        <w:top w:val="none" w:sz="0" w:space="0" w:color="auto"/>
        <w:left w:val="none" w:sz="0" w:space="0" w:color="auto"/>
        <w:bottom w:val="none" w:sz="0" w:space="0" w:color="auto"/>
        <w:right w:val="none" w:sz="0" w:space="0" w:color="auto"/>
      </w:divBdr>
    </w:div>
    <w:div w:id="558900537">
      <w:bodyDiv w:val="1"/>
      <w:marLeft w:val="0"/>
      <w:marRight w:val="0"/>
      <w:marTop w:val="0"/>
      <w:marBottom w:val="0"/>
      <w:divBdr>
        <w:top w:val="none" w:sz="0" w:space="0" w:color="auto"/>
        <w:left w:val="none" w:sz="0" w:space="0" w:color="auto"/>
        <w:bottom w:val="none" w:sz="0" w:space="0" w:color="auto"/>
        <w:right w:val="none" w:sz="0" w:space="0" w:color="auto"/>
      </w:divBdr>
    </w:div>
    <w:div w:id="579212928">
      <w:bodyDiv w:val="1"/>
      <w:marLeft w:val="0"/>
      <w:marRight w:val="0"/>
      <w:marTop w:val="0"/>
      <w:marBottom w:val="0"/>
      <w:divBdr>
        <w:top w:val="none" w:sz="0" w:space="0" w:color="auto"/>
        <w:left w:val="none" w:sz="0" w:space="0" w:color="auto"/>
        <w:bottom w:val="none" w:sz="0" w:space="0" w:color="auto"/>
        <w:right w:val="none" w:sz="0" w:space="0" w:color="auto"/>
      </w:divBdr>
    </w:div>
    <w:div w:id="587890422">
      <w:bodyDiv w:val="1"/>
      <w:marLeft w:val="0"/>
      <w:marRight w:val="0"/>
      <w:marTop w:val="0"/>
      <w:marBottom w:val="0"/>
      <w:divBdr>
        <w:top w:val="none" w:sz="0" w:space="0" w:color="auto"/>
        <w:left w:val="none" w:sz="0" w:space="0" w:color="auto"/>
        <w:bottom w:val="none" w:sz="0" w:space="0" w:color="auto"/>
        <w:right w:val="none" w:sz="0" w:space="0" w:color="auto"/>
      </w:divBdr>
    </w:div>
    <w:div w:id="590360346">
      <w:bodyDiv w:val="1"/>
      <w:marLeft w:val="0"/>
      <w:marRight w:val="0"/>
      <w:marTop w:val="0"/>
      <w:marBottom w:val="0"/>
      <w:divBdr>
        <w:top w:val="none" w:sz="0" w:space="0" w:color="auto"/>
        <w:left w:val="none" w:sz="0" w:space="0" w:color="auto"/>
        <w:bottom w:val="none" w:sz="0" w:space="0" w:color="auto"/>
        <w:right w:val="none" w:sz="0" w:space="0" w:color="auto"/>
      </w:divBdr>
    </w:div>
    <w:div w:id="610624651">
      <w:bodyDiv w:val="1"/>
      <w:marLeft w:val="0"/>
      <w:marRight w:val="0"/>
      <w:marTop w:val="0"/>
      <w:marBottom w:val="0"/>
      <w:divBdr>
        <w:top w:val="none" w:sz="0" w:space="0" w:color="auto"/>
        <w:left w:val="none" w:sz="0" w:space="0" w:color="auto"/>
        <w:bottom w:val="none" w:sz="0" w:space="0" w:color="auto"/>
        <w:right w:val="none" w:sz="0" w:space="0" w:color="auto"/>
      </w:divBdr>
    </w:div>
    <w:div w:id="663900840">
      <w:bodyDiv w:val="1"/>
      <w:marLeft w:val="0"/>
      <w:marRight w:val="0"/>
      <w:marTop w:val="0"/>
      <w:marBottom w:val="0"/>
      <w:divBdr>
        <w:top w:val="none" w:sz="0" w:space="0" w:color="auto"/>
        <w:left w:val="none" w:sz="0" w:space="0" w:color="auto"/>
        <w:bottom w:val="none" w:sz="0" w:space="0" w:color="auto"/>
        <w:right w:val="none" w:sz="0" w:space="0" w:color="auto"/>
      </w:divBdr>
    </w:div>
    <w:div w:id="686835263">
      <w:bodyDiv w:val="1"/>
      <w:marLeft w:val="0"/>
      <w:marRight w:val="0"/>
      <w:marTop w:val="0"/>
      <w:marBottom w:val="0"/>
      <w:divBdr>
        <w:top w:val="none" w:sz="0" w:space="0" w:color="auto"/>
        <w:left w:val="none" w:sz="0" w:space="0" w:color="auto"/>
        <w:bottom w:val="none" w:sz="0" w:space="0" w:color="auto"/>
        <w:right w:val="none" w:sz="0" w:space="0" w:color="auto"/>
      </w:divBdr>
    </w:div>
    <w:div w:id="687676770">
      <w:bodyDiv w:val="1"/>
      <w:marLeft w:val="0"/>
      <w:marRight w:val="0"/>
      <w:marTop w:val="0"/>
      <w:marBottom w:val="0"/>
      <w:divBdr>
        <w:top w:val="none" w:sz="0" w:space="0" w:color="auto"/>
        <w:left w:val="none" w:sz="0" w:space="0" w:color="auto"/>
        <w:bottom w:val="none" w:sz="0" w:space="0" w:color="auto"/>
        <w:right w:val="none" w:sz="0" w:space="0" w:color="auto"/>
      </w:divBdr>
    </w:div>
    <w:div w:id="706873582">
      <w:bodyDiv w:val="1"/>
      <w:marLeft w:val="0"/>
      <w:marRight w:val="0"/>
      <w:marTop w:val="0"/>
      <w:marBottom w:val="0"/>
      <w:divBdr>
        <w:top w:val="none" w:sz="0" w:space="0" w:color="auto"/>
        <w:left w:val="none" w:sz="0" w:space="0" w:color="auto"/>
        <w:bottom w:val="none" w:sz="0" w:space="0" w:color="auto"/>
        <w:right w:val="none" w:sz="0" w:space="0" w:color="auto"/>
      </w:divBdr>
    </w:div>
    <w:div w:id="721371455">
      <w:bodyDiv w:val="1"/>
      <w:marLeft w:val="0"/>
      <w:marRight w:val="0"/>
      <w:marTop w:val="0"/>
      <w:marBottom w:val="0"/>
      <w:divBdr>
        <w:top w:val="none" w:sz="0" w:space="0" w:color="auto"/>
        <w:left w:val="none" w:sz="0" w:space="0" w:color="auto"/>
        <w:bottom w:val="none" w:sz="0" w:space="0" w:color="auto"/>
        <w:right w:val="none" w:sz="0" w:space="0" w:color="auto"/>
      </w:divBdr>
    </w:div>
    <w:div w:id="759370080">
      <w:bodyDiv w:val="1"/>
      <w:marLeft w:val="0"/>
      <w:marRight w:val="0"/>
      <w:marTop w:val="0"/>
      <w:marBottom w:val="0"/>
      <w:divBdr>
        <w:top w:val="none" w:sz="0" w:space="0" w:color="auto"/>
        <w:left w:val="none" w:sz="0" w:space="0" w:color="auto"/>
        <w:bottom w:val="none" w:sz="0" w:space="0" w:color="auto"/>
        <w:right w:val="none" w:sz="0" w:space="0" w:color="auto"/>
      </w:divBdr>
    </w:div>
    <w:div w:id="780029744">
      <w:bodyDiv w:val="1"/>
      <w:marLeft w:val="0"/>
      <w:marRight w:val="0"/>
      <w:marTop w:val="0"/>
      <w:marBottom w:val="0"/>
      <w:divBdr>
        <w:top w:val="none" w:sz="0" w:space="0" w:color="auto"/>
        <w:left w:val="none" w:sz="0" w:space="0" w:color="auto"/>
        <w:bottom w:val="none" w:sz="0" w:space="0" w:color="auto"/>
        <w:right w:val="none" w:sz="0" w:space="0" w:color="auto"/>
      </w:divBdr>
    </w:div>
    <w:div w:id="801921522">
      <w:bodyDiv w:val="1"/>
      <w:marLeft w:val="0"/>
      <w:marRight w:val="0"/>
      <w:marTop w:val="0"/>
      <w:marBottom w:val="0"/>
      <w:divBdr>
        <w:top w:val="none" w:sz="0" w:space="0" w:color="auto"/>
        <w:left w:val="none" w:sz="0" w:space="0" w:color="auto"/>
        <w:bottom w:val="none" w:sz="0" w:space="0" w:color="auto"/>
        <w:right w:val="none" w:sz="0" w:space="0" w:color="auto"/>
      </w:divBdr>
    </w:div>
    <w:div w:id="830171753">
      <w:bodyDiv w:val="1"/>
      <w:marLeft w:val="0"/>
      <w:marRight w:val="0"/>
      <w:marTop w:val="0"/>
      <w:marBottom w:val="0"/>
      <w:divBdr>
        <w:top w:val="none" w:sz="0" w:space="0" w:color="auto"/>
        <w:left w:val="none" w:sz="0" w:space="0" w:color="auto"/>
        <w:bottom w:val="none" w:sz="0" w:space="0" w:color="auto"/>
        <w:right w:val="none" w:sz="0" w:space="0" w:color="auto"/>
      </w:divBdr>
    </w:div>
    <w:div w:id="856576929">
      <w:bodyDiv w:val="1"/>
      <w:marLeft w:val="0"/>
      <w:marRight w:val="0"/>
      <w:marTop w:val="0"/>
      <w:marBottom w:val="0"/>
      <w:divBdr>
        <w:top w:val="none" w:sz="0" w:space="0" w:color="auto"/>
        <w:left w:val="none" w:sz="0" w:space="0" w:color="auto"/>
        <w:bottom w:val="none" w:sz="0" w:space="0" w:color="auto"/>
        <w:right w:val="none" w:sz="0" w:space="0" w:color="auto"/>
      </w:divBdr>
    </w:div>
    <w:div w:id="952441743">
      <w:bodyDiv w:val="1"/>
      <w:marLeft w:val="0"/>
      <w:marRight w:val="0"/>
      <w:marTop w:val="0"/>
      <w:marBottom w:val="0"/>
      <w:divBdr>
        <w:top w:val="none" w:sz="0" w:space="0" w:color="auto"/>
        <w:left w:val="none" w:sz="0" w:space="0" w:color="auto"/>
        <w:bottom w:val="none" w:sz="0" w:space="0" w:color="auto"/>
        <w:right w:val="none" w:sz="0" w:space="0" w:color="auto"/>
      </w:divBdr>
    </w:div>
    <w:div w:id="971330764">
      <w:bodyDiv w:val="1"/>
      <w:marLeft w:val="0"/>
      <w:marRight w:val="0"/>
      <w:marTop w:val="0"/>
      <w:marBottom w:val="0"/>
      <w:divBdr>
        <w:top w:val="none" w:sz="0" w:space="0" w:color="auto"/>
        <w:left w:val="none" w:sz="0" w:space="0" w:color="auto"/>
        <w:bottom w:val="none" w:sz="0" w:space="0" w:color="auto"/>
        <w:right w:val="none" w:sz="0" w:space="0" w:color="auto"/>
      </w:divBdr>
    </w:div>
    <w:div w:id="1083185636">
      <w:bodyDiv w:val="1"/>
      <w:marLeft w:val="0"/>
      <w:marRight w:val="0"/>
      <w:marTop w:val="0"/>
      <w:marBottom w:val="0"/>
      <w:divBdr>
        <w:top w:val="none" w:sz="0" w:space="0" w:color="auto"/>
        <w:left w:val="none" w:sz="0" w:space="0" w:color="auto"/>
        <w:bottom w:val="none" w:sz="0" w:space="0" w:color="auto"/>
        <w:right w:val="none" w:sz="0" w:space="0" w:color="auto"/>
      </w:divBdr>
    </w:div>
    <w:div w:id="1088580798">
      <w:bodyDiv w:val="1"/>
      <w:marLeft w:val="0"/>
      <w:marRight w:val="0"/>
      <w:marTop w:val="0"/>
      <w:marBottom w:val="0"/>
      <w:divBdr>
        <w:top w:val="none" w:sz="0" w:space="0" w:color="auto"/>
        <w:left w:val="none" w:sz="0" w:space="0" w:color="auto"/>
        <w:bottom w:val="none" w:sz="0" w:space="0" w:color="auto"/>
        <w:right w:val="none" w:sz="0" w:space="0" w:color="auto"/>
      </w:divBdr>
    </w:div>
    <w:div w:id="1091391584">
      <w:bodyDiv w:val="1"/>
      <w:marLeft w:val="0"/>
      <w:marRight w:val="0"/>
      <w:marTop w:val="0"/>
      <w:marBottom w:val="0"/>
      <w:divBdr>
        <w:top w:val="none" w:sz="0" w:space="0" w:color="auto"/>
        <w:left w:val="none" w:sz="0" w:space="0" w:color="auto"/>
        <w:bottom w:val="none" w:sz="0" w:space="0" w:color="auto"/>
        <w:right w:val="none" w:sz="0" w:space="0" w:color="auto"/>
      </w:divBdr>
    </w:div>
    <w:div w:id="1091583317">
      <w:bodyDiv w:val="1"/>
      <w:marLeft w:val="0"/>
      <w:marRight w:val="0"/>
      <w:marTop w:val="0"/>
      <w:marBottom w:val="0"/>
      <w:divBdr>
        <w:top w:val="none" w:sz="0" w:space="0" w:color="auto"/>
        <w:left w:val="none" w:sz="0" w:space="0" w:color="auto"/>
        <w:bottom w:val="none" w:sz="0" w:space="0" w:color="auto"/>
        <w:right w:val="none" w:sz="0" w:space="0" w:color="auto"/>
      </w:divBdr>
    </w:div>
    <w:div w:id="1091704854">
      <w:bodyDiv w:val="1"/>
      <w:marLeft w:val="0"/>
      <w:marRight w:val="0"/>
      <w:marTop w:val="0"/>
      <w:marBottom w:val="0"/>
      <w:divBdr>
        <w:top w:val="none" w:sz="0" w:space="0" w:color="auto"/>
        <w:left w:val="none" w:sz="0" w:space="0" w:color="auto"/>
        <w:bottom w:val="none" w:sz="0" w:space="0" w:color="auto"/>
        <w:right w:val="none" w:sz="0" w:space="0" w:color="auto"/>
      </w:divBdr>
    </w:div>
    <w:div w:id="1094207101">
      <w:bodyDiv w:val="1"/>
      <w:marLeft w:val="0"/>
      <w:marRight w:val="0"/>
      <w:marTop w:val="0"/>
      <w:marBottom w:val="0"/>
      <w:divBdr>
        <w:top w:val="none" w:sz="0" w:space="0" w:color="auto"/>
        <w:left w:val="none" w:sz="0" w:space="0" w:color="auto"/>
        <w:bottom w:val="none" w:sz="0" w:space="0" w:color="auto"/>
        <w:right w:val="none" w:sz="0" w:space="0" w:color="auto"/>
      </w:divBdr>
    </w:div>
    <w:div w:id="1100222082">
      <w:bodyDiv w:val="1"/>
      <w:marLeft w:val="0"/>
      <w:marRight w:val="0"/>
      <w:marTop w:val="0"/>
      <w:marBottom w:val="0"/>
      <w:divBdr>
        <w:top w:val="none" w:sz="0" w:space="0" w:color="auto"/>
        <w:left w:val="none" w:sz="0" w:space="0" w:color="auto"/>
        <w:bottom w:val="none" w:sz="0" w:space="0" w:color="auto"/>
        <w:right w:val="none" w:sz="0" w:space="0" w:color="auto"/>
      </w:divBdr>
    </w:div>
    <w:div w:id="1136415858">
      <w:bodyDiv w:val="1"/>
      <w:marLeft w:val="0"/>
      <w:marRight w:val="0"/>
      <w:marTop w:val="0"/>
      <w:marBottom w:val="0"/>
      <w:divBdr>
        <w:top w:val="none" w:sz="0" w:space="0" w:color="auto"/>
        <w:left w:val="none" w:sz="0" w:space="0" w:color="auto"/>
        <w:bottom w:val="none" w:sz="0" w:space="0" w:color="auto"/>
        <w:right w:val="none" w:sz="0" w:space="0" w:color="auto"/>
      </w:divBdr>
    </w:div>
    <w:div w:id="1163818633">
      <w:bodyDiv w:val="1"/>
      <w:marLeft w:val="0"/>
      <w:marRight w:val="0"/>
      <w:marTop w:val="0"/>
      <w:marBottom w:val="0"/>
      <w:divBdr>
        <w:top w:val="none" w:sz="0" w:space="0" w:color="auto"/>
        <w:left w:val="none" w:sz="0" w:space="0" w:color="auto"/>
        <w:bottom w:val="none" w:sz="0" w:space="0" w:color="auto"/>
        <w:right w:val="none" w:sz="0" w:space="0" w:color="auto"/>
      </w:divBdr>
    </w:div>
    <w:div w:id="1168791667">
      <w:bodyDiv w:val="1"/>
      <w:marLeft w:val="0"/>
      <w:marRight w:val="0"/>
      <w:marTop w:val="0"/>
      <w:marBottom w:val="0"/>
      <w:divBdr>
        <w:top w:val="none" w:sz="0" w:space="0" w:color="auto"/>
        <w:left w:val="none" w:sz="0" w:space="0" w:color="auto"/>
        <w:bottom w:val="none" w:sz="0" w:space="0" w:color="auto"/>
        <w:right w:val="none" w:sz="0" w:space="0" w:color="auto"/>
      </w:divBdr>
    </w:div>
    <w:div w:id="1177159165">
      <w:bodyDiv w:val="1"/>
      <w:marLeft w:val="0"/>
      <w:marRight w:val="0"/>
      <w:marTop w:val="0"/>
      <w:marBottom w:val="0"/>
      <w:divBdr>
        <w:top w:val="none" w:sz="0" w:space="0" w:color="auto"/>
        <w:left w:val="none" w:sz="0" w:space="0" w:color="auto"/>
        <w:bottom w:val="none" w:sz="0" w:space="0" w:color="auto"/>
        <w:right w:val="none" w:sz="0" w:space="0" w:color="auto"/>
      </w:divBdr>
    </w:div>
    <w:div w:id="1225334491">
      <w:bodyDiv w:val="1"/>
      <w:marLeft w:val="0"/>
      <w:marRight w:val="0"/>
      <w:marTop w:val="0"/>
      <w:marBottom w:val="0"/>
      <w:divBdr>
        <w:top w:val="none" w:sz="0" w:space="0" w:color="auto"/>
        <w:left w:val="none" w:sz="0" w:space="0" w:color="auto"/>
        <w:bottom w:val="none" w:sz="0" w:space="0" w:color="auto"/>
        <w:right w:val="none" w:sz="0" w:space="0" w:color="auto"/>
      </w:divBdr>
    </w:div>
    <w:div w:id="1300038218">
      <w:bodyDiv w:val="1"/>
      <w:marLeft w:val="0"/>
      <w:marRight w:val="0"/>
      <w:marTop w:val="0"/>
      <w:marBottom w:val="0"/>
      <w:divBdr>
        <w:top w:val="none" w:sz="0" w:space="0" w:color="auto"/>
        <w:left w:val="none" w:sz="0" w:space="0" w:color="auto"/>
        <w:bottom w:val="none" w:sz="0" w:space="0" w:color="auto"/>
        <w:right w:val="none" w:sz="0" w:space="0" w:color="auto"/>
      </w:divBdr>
    </w:div>
    <w:div w:id="1454983182">
      <w:bodyDiv w:val="1"/>
      <w:marLeft w:val="0"/>
      <w:marRight w:val="0"/>
      <w:marTop w:val="0"/>
      <w:marBottom w:val="0"/>
      <w:divBdr>
        <w:top w:val="none" w:sz="0" w:space="0" w:color="auto"/>
        <w:left w:val="none" w:sz="0" w:space="0" w:color="auto"/>
        <w:bottom w:val="none" w:sz="0" w:space="0" w:color="auto"/>
        <w:right w:val="none" w:sz="0" w:space="0" w:color="auto"/>
      </w:divBdr>
    </w:div>
    <w:div w:id="1472750077">
      <w:bodyDiv w:val="1"/>
      <w:marLeft w:val="0"/>
      <w:marRight w:val="0"/>
      <w:marTop w:val="0"/>
      <w:marBottom w:val="0"/>
      <w:divBdr>
        <w:top w:val="none" w:sz="0" w:space="0" w:color="auto"/>
        <w:left w:val="none" w:sz="0" w:space="0" w:color="auto"/>
        <w:bottom w:val="none" w:sz="0" w:space="0" w:color="auto"/>
        <w:right w:val="none" w:sz="0" w:space="0" w:color="auto"/>
      </w:divBdr>
    </w:div>
    <w:div w:id="1518928386">
      <w:bodyDiv w:val="1"/>
      <w:marLeft w:val="0"/>
      <w:marRight w:val="0"/>
      <w:marTop w:val="0"/>
      <w:marBottom w:val="0"/>
      <w:divBdr>
        <w:top w:val="none" w:sz="0" w:space="0" w:color="auto"/>
        <w:left w:val="none" w:sz="0" w:space="0" w:color="auto"/>
        <w:bottom w:val="none" w:sz="0" w:space="0" w:color="auto"/>
        <w:right w:val="none" w:sz="0" w:space="0" w:color="auto"/>
      </w:divBdr>
    </w:div>
    <w:div w:id="1519194202">
      <w:bodyDiv w:val="1"/>
      <w:marLeft w:val="0"/>
      <w:marRight w:val="0"/>
      <w:marTop w:val="0"/>
      <w:marBottom w:val="0"/>
      <w:divBdr>
        <w:top w:val="none" w:sz="0" w:space="0" w:color="auto"/>
        <w:left w:val="none" w:sz="0" w:space="0" w:color="auto"/>
        <w:bottom w:val="none" w:sz="0" w:space="0" w:color="auto"/>
        <w:right w:val="none" w:sz="0" w:space="0" w:color="auto"/>
      </w:divBdr>
    </w:div>
    <w:div w:id="1529947625">
      <w:bodyDiv w:val="1"/>
      <w:marLeft w:val="0"/>
      <w:marRight w:val="0"/>
      <w:marTop w:val="0"/>
      <w:marBottom w:val="0"/>
      <w:divBdr>
        <w:top w:val="none" w:sz="0" w:space="0" w:color="auto"/>
        <w:left w:val="none" w:sz="0" w:space="0" w:color="auto"/>
        <w:bottom w:val="none" w:sz="0" w:space="0" w:color="auto"/>
        <w:right w:val="none" w:sz="0" w:space="0" w:color="auto"/>
      </w:divBdr>
    </w:div>
    <w:div w:id="1555580475">
      <w:bodyDiv w:val="1"/>
      <w:marLeft w:val="0"/>
      <w:marRight w:val="0"/>
      <w:marTop w:val="0"/>
      <w:marBottom w:val="0"/>
      <w:divBdr>
        <w:top w:val="none" w:sz="0" w:space="0" w:color="auto"/>
        <w:left w:val="none" w:sz="0" w:space="0" w:color="auto"/>
        <w:bottom w:val="none" w:sz="0" w:space="0" w:color="auto"/>
        <w:right w:val="none" w:sz="0" w:space="0" w:color="auto"/>
      </w:divBdr>
    </w:div>
    <w:div w:id="1557357893">
      <w:bodyDiv w:val="1"/>
      <w:marLeft w:val="0"/>
      <w:marRight w:val="0"/>
      <w:marTop w:val="0"/>
      <w:marBottom w:val="0"/>
      <w:divBdr>
        <w:top w:val="none" w:sz="0" w:space="0" w:color="auto"/>
        <w:left w:val="none" w:sz="0" w:space="0" w:color="auto"/>
        <w:bottom w:val="none" w:sz="0" w:space="0" w:color="auto"/>
        <w:right w:val="none" w:sz="0" w:space="0" w:color="auto"/>
      </w:divBdr>
    </w:div>
    <w:div w:id="1600989306">
      <w:bodyDiv w:val="1"/>
      <w:marLeft w:val="0"/>
      <w:marRight w:val="0"/>
      <w:marTop w:val="0"/>
      <w:marBottom w:val="0"/>
      <w:divBdr>
        <w:top w:val="none" w:sz="0" w:space="0" w:color="auto"/>
        <w:left w:val="none" w:sz="0" w:space="0" w:color="auto"/>
        <w:bottom w:val="none" w:sz="0" w:space="0" w:color="auto"/>
        <w:right w:val="none" w:sz="0" w:space="0" w:color="auto"/>
      </w:divBdr>
    </w:div>
    <w:div w:id="1628731826">
      <w:bodyDiv w:val="1"/>
      <w:marLeft w:val="0"/>
      <w:marRight w:val="0"/>
      <w:marTop w:val="0"/>
      <w:marBottom w:val="0"/>
      <w:divBdr>
        <w:top w:val="none" w:sz="0" w:space="0" w:color="auto"/>
        <w:left w:val="none" w:sz="0" w:space="0" w:color="auto"/>
        <w:bottom w:val="none" w:sz="0" w:space="0" w:color="auto"/>
        <w:right w:val="none" w:sz="0" w:space="0" w:color="auto"/>
      </w:divBdr>
    </w:div>
    <w:div w:id="1643466327">
      <w:bodyDiv w:val="1"/>
      <w:marLeft w:val="0"/>
      <w:marRight w:val="0"/>
      <w:marTop w:val="0"/>
      <w:marBottom w:val="0"/>
      <w:divBdr>
        <w:top w:val="none" w:sz="0" w:space="0" w:color="auto"/>
        <w:left w:val="none" w:sz="0" w:space="0" w:color="auto"/>
        <w:bottom w:val="none" w:sz="0" w:space="0" w:color="auto"/>
        <w:right w:val="none" w:sz="0" w:space="0" w:color="auto"/>
      </w:divBdr>
    </w:div>
    <w:div w:id="1706128259">
      <w:bodyDiv w:val="1"/>
      <w:marLeft w:val="0"/>
      <w:marRight w:val="0"/>
      <w:marTop w:val="0"/>
      <w:marBottom w:val="0"/>
      <w:divBdr>
        <w:top w:val="none" w:sz="0" w:space="0" w:color="auto"/>
        <w:left w:val="none" w:sz="0" w:space="0" w:color="auto"/>
        <w:bottom w:val="none" w:sz="0" w:space="0" w:color="auto"/>
        <w:right w:val="none" w:sz="0" w:space="0" w:color="auto"/>
      </w:divBdr>
    </w:div>
    <w:div w:id="1708024190">
      <w:bodyDiv w:val="1"/>
      <w:marLeft w:val="0"/>
      <w:marRight w:val="0"/>
      <w:marTop w:val="0"/>
      <w:marBottom w:val="0"/>
      <w:divBdr>
        <w:top w:val="none" w:sz="0" w:space="0" w:color="auto"/>
        <w:left w:val="none" w:sz="0" w:space="0" w:color="auto"/>
        <w:bottom w:val="none" w:sz="0" w:space="0" w:color="auto"/>
        <w:right w:val="none" w:sz="0" w:space="0" w:color="auto"/>
      </w:divBdr>
    </w:div>
    <w:div w:id="1733308414">
      <w:bodyDiv w:val="1"/>
      <w:marLeft w:val="0"/>
      <w:marRight w:val="0"/>
      <w:marTop w:val="0"/>
      <w:marBottom w:val="0"/>
      <w:divBdr>
        <w:top w:val="none" w:sz="0" w:space="0" w:color="auto"/>
        <w:left w:val="none" w:sz="0" w:space="0" w:color="auto"/>
        <w:bottom w:val="none" w:sz="0" w:space="0" w:color="auto"/>
        <w:right w:val="none" w:sz="0" w:space="0" w:color="auto"/>
      </w:divBdr>
    </w:div>
    <w:div w:id="1745223807">
      <w:bodyDiv w:val="1"/>
      <w:marLeft w:val="0"/>
      <w:marRight w:val="0"/>
      <w:marTop w:val="0"/>
      <w:marBottom w:val="0"/>
      <w:divBdr>
        <w:top w:val="none" w:sz="0" w:space="0" w:color="auto"/>
        <w:left w:val="none" w:sz="0" w:space="0" w:color="auto"/>
        <w:bottom w:val="none" w:sz="0" w:space="0" w:color="auto"/>
        <w:right w:val="none" w:sz="0" w:space="0" w:color="auto"/>
      </w:divBdr>
    </w:div>
    <w:div w:id="1809544930">
      <w:bodyDiv w:val="1"/>
      <w:marLeft w:val="0"/>
      <w:marRight w:val="0"/>
      <w:marTop w:val="0"/>
      <w:marBottom w:val="0"/>
      <w:divBdr>
        <w:top w:val="none" w:sz="0" w:space="0" w:color="auto"/>
        <w:left w:val="none" w:sz="0" w:space="0" w:color="auto"/>
        <w:bottom w:val="none" w:sz="0" w:space="0" w:color="auto"/>
        <w:right w:val="none" w:sz="0" w:space="0" w:color="auto"/>
      </w:divBdr>
    </w:div>
    <w:div w:id="1819222757">
      <w:bodyDiv w:val="1"/>
      <w:marLeft w:val="0"/>
      <w:marRight w:val="0"/>
      <w:marTop w:val="0"/>
      <w:marBottom w:val="0"/>
      <w:divBdr>
        <w:top w:val="none" w:sz="0" w:space="0" w:color="auto"/>
        <w:left w:val="none" w:sz="0" w:space="0" w:color="auto"/>
        <w:bottom w:val="none" w:sz="0" w:space="0" w:color="auto"/>
        <w:right w:val="none" w:sz="0" w:space="0" w:color="auto"/>
      </w:divBdr>
    </w:div>
    <w:div w:id="1828328533">
      <w:bodyDiv w:val="1"/>
      <w:marLeft w:val="0"/>
      <w:marRight w:val="0"/>
      <w:marTop w:val="0"/>
      <w:marBottom w:val="0"/>
      <w:divBdr>
        <w:top w:val="none" w:sz="0" w:space="0" w:color="auto"/>
        <w:left w:val="none" w:sz="0" w:space="0" w:color="auto"/>
        <w:bottom w:val="none" w:sz="0" w:space="0" w:color="auto"/>
        <w:right w:val="none" w:sz="0" w:space="0" w:color="auto"/>
      </w:divBdr>
    </w:div>
    <w:div w:id="1837527614">
      <w:bodyDiv w:val="1"/>
      <w:marLeft w:val="0"/>
      <w:marRight w:val="0"/>
      <w:marTop w:val="0"/>
      <w:marBottom w:val="0"/>
      <w:divBdr>
        <w:top w:val="none" w:sz="0" w:space="0" w:color="auto"/>
        <w:left w:val="none" w:sz="0" w:space="0" w:color="auto"/>
        <w:bottom w:val="none" w:sz="0" w:space="0" w:color="auto"/>
        <w:right w:val="none" w:sz="0" w:space="0" w:color="auto"/>
      </w:divBdr>
    </w:div>
    <w:div w:id="1874003728">
      <w:bodyDiv w:val="1"/>
      <w:marLeft w:val="0"/>
      <w:marRight w:val="0"/>
      <w:marTop w:val="0"/>
      <w:marBottom w:val="0"/>
      <w:divBdr>
        <w:top w:val="none" w:sz="0" w:space="0" w:color="auto"/>
        <w:left w:val="none" w:sz="0" w:space="0" w:color="auto"/>
        <w:bottom w:val="none" w:sz="0" w:space="0" w:color="auto"/>
        <w:right w:val="none" w:sz="0" w:space="0" w:color="auto"/>
      </w:divBdr>
    </w:div>
    <w:div w:id="1874271478">
      <w:bodyDiv w:val="1"/>
      <w:marLeft w:val="0"/>
      <w:marRight w:val="0"/>
      <w:marTop w:val="0"/>
      <w:marBottom w:val="0"/>
      <w:divBdr>
        <w:top w:val="none" w:sz="0" w:space="0" w:color="auto"/>
        <w:left w:val="none" w:sz="0" w:space="0" w:color="auto"/>
        <w:bottom w:val="none" w:sz="0" w:space="0" w:color="auto"/>
        <w:right w:val="none" w:sz="0" w:space="0" w:color="auto"/>
      </w:divBdr>
    </w:div>
    <w:div w:id="1901747349">
      <w:bodyDiv w:val="1"/>
      <w:marLeft w:val="0"/>
      <w:marRight w:val="0"/>
      <w:marTop w:val="0"/>
      <w:marBottom w:val="0"/>
      <w:divBdr>
        <w:top w:val="none" w:sz="0" w:space="0" w:color="auto"/>
        <w:left w:val="none" w:sz="0" w:space="0" w:color="auto"/>
        <w:bottom w:val="none" w:sz="0" w:space="0" w:color="auto"/>
        <w:right w:val="none" w:sz="0" w:space="0" w:color="auto"/>
      </w:divBdr>
    </w:div>
    <w:div w:id="1903179573">
      <w:bodyDiv w:val="1"/>
      <w:marLeft w:val="0"/>
      <w:marRight w:val="0"/>
      <w:marTop w:val="0"/>
      <w:marBottom w:val="0"/>
      <w:divBdr>
        <w:top w:val="none" w:sz="0" w:space="0" w:color="auto"/>
        <w:left w:val="none" w:sz="0" w:space="0" w:color="auto"/>
        <w:bottom w:val="none" w:sz="0" w:space="0" w:color="auto"/>
        <w:right w:val="none" w:sz="0" w:space="0" w:color="auto"/>
      </w:divBdr>
    </w:div>
    <w:div w:id="1926375796">
      <w:bodyDiv w:val="1"/>
      <w:marLeft w:val="0"/>
      <w:marRight w:val="0"/>
      <w:marTop w:val="0"/>
      <w:marBottom w:val="0"/>
      <w:divBdr>
        <w:top w:val="none" w:sz="0" w:space="0" w:color="auto"/>
        <w:left w:val="none" w:sz="0" w:space="0" w:color="auto"/>
        <w:bottom w:val="none" w:sz="0" w:space="0" w:color="auto"/>
        <w:right w:val="none" w:sz="0" w:space="0" w:color="auto"/>
      </w:divBdr>
    </w:div>
    <w:div w:id="1942565326">
      <w:bodyDiv w:val="1"/>
      <w:marLeft w:val="0"/>
      <w:marRight w:val="0"/>
      <w:marTop w:val="0"/>
      <w:marBottom w:val="0"/>
      <w:divBdr>
        <w:top w:val="none" w:sz="0" w:space="0" w:color="auto"/>
        <w:left w:val="none" w:sz="0" w:space="0" w:color="auto"/>
        <w:bottom w:val="none" w:sz="0" w:space="0" w:color="auto"/>
        <w:right w:val="none" w:sz="0" w:space="0" w:color="auto"/>
      </w:divBdr>
    </w:div>
    <w:div w:id="2011443272">
      <w:bodyDiv w:val="1"/>
      <w:marLeft w:val="0"/>
      <w:marRight w:val="0"/>
      <w:marTop w:val="0"/>
      <w:marBottom w:val="0"/>
      <w:divBdr>
        <w:top w:val="none" w:sz="0" w:space="0" w:color="auto"/>
        <w:left w:val="none" w:sz="0" w:space="0" w:color="auto"/>
        <w:bottom w:val="none" w:sz="0" w:space="0" w:color="auto"/>
        <w:right w:val="none" w:sz="0" w:space="0" w:color="auto"/>
      </w:divBdr>
    </w:div>
    <w:div w:id="2098286112">
      <w:bodyDiv w:val="1"/>
      <w:marLeft w:val="0"/>
      <w:marRight w:val="0"/>
      <w:marTop w:val="0"/>
      <w:marBottom w:val="0"/>
      <w:divBdr>
        <w:top w:val="none" w:sz="0" w:space="0" w:color="auto"/>
        <w:left w:val="none" w:sz="0" w:space="0" w:color="auto"/>
        <w:bottom w:val="none" w:sz="0" w:space="0" w:color="auto"/>
        <w:right w:val="none" w:sz="0" w:space="0" w:color="auto"/>
      </w:divBdr>
    </w:div>
    <w:div w:id="2122604901">
      <w:bodyDiv w:val="1"/>
      <w:marLeft w:val="0"/>
      <w:marRight w:val="0"/>
      <w:marTop w:val="0"/>
      <w:marBottom w:val="0"/>
      <w:divBdr>
        <w:top w:val="none" w:sz="0" w:space="0" w:color="auto"/>
        <w:left w:val="none" w:sz="0" w:space="0" w:color="auto"/>
        <w:bottom w:val="none" w:sz="0" w:space="0" w:color="auto"/>
        <w:right w:val="none" w:sz="0" w:space="0" w:color="auto"/>
      </w:divBdr>
    </w:div>
    <w:div w:id="2137940754">
      <w:bodyDiv w:val="1"/>
      <w:marLeft w:val="0"/>
      <w:marRight w:val="0"/>
      <w:marTop w:val="0"/>
      <w:marBottom w:val="0"/>
      <w:divBdr>
        <w:top w:val="none" w:sz="0" w:space="0" w:color="auto"/>
        <w:left w:val="none" w:sz="0" w:space="0" w:color="auto"/>
        <w:bottom w:val="none" w:sz="0" w:space="0" w:color="auto"/>
        <w:right w:val="none" w:sz="0" w:space="0" w:color="auto"/>
      </w:divBdr>
    </w:div>
    <w:div w:id="214080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kommersant.ru/doc/1768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mmersant.ru/doc/18360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eb.archive.org/web/20130720082921/http://www.savelev.ru/book/?ch=159"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ndemand.eastview.com/browse/doc/3161662/%D0%BF%D0%BE%D1%85%D0%B8%D1%89%D0%B5%D0%BD%D0%BD%D1%8B%D1%85%D0%B2%D1%87%D0%B5%D1%87%D0%BD%D0%B5%D0%BF%D0%BE%D0%BB%D1%8F%D0%BA%D0%BE%D0%B2%D0%BE%D1%86%D0%B5%D0%BD%D0%B8%D0%BB%D0%B8%D0%B2%D1%82%D1%80%D0%B8%D0%BC%D0%B8%D0%BB%D0%BB%D0%B8%D0%BE%D0%BD%D0%B0%D0%B4%D0%BE%D0%BB%D0%BB%D0%B0%D1%80%D0%BE%D0%B2?searchFor=%D0%BF%D0%BE%D1%85%D0%B8%D1%89%D0%B5%D0%BD%D0%B8%D1%8F%20%D0%B2%20%D0%A7%D0%B5%D1%87%D0%BD%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1C2D8-12B7-4016-BB77-C88BD83E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150</Pages>
  <Words>52720</Words>
  <Characters>300506</Characters>
  <Application>Microsoft Office Word</Application>
  <DocSecurity>0</DocSecurity>
  <Lines>2504</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VatPil</dc:creator>
  <cp:lastModifiedBy>User</cp:lastModifiedBy>
  <cp:revision>7</cp:revision>
  <cp:lastPrinted>2024-12-14T09:46:00Z</cp:lastPrinted>
  <dcterms:created xsi:type="dcterms:W3CDTF">2024-12-15T11:43:00Z</dcterms:created>
  <dcterms:modified xsi:type="dcterms:W3CDTF">2024-12-27T12:46:00Z</dcterms:modified>
</cp:coreProperties>
</file>