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CD" w:rsidRDefault="00A659CD" w:rsidP="00FF1B7F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:rsidR="00A659CD" w:rsidRDefault="00A659CD" w:rsidP="00FF1B7F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:rsidR="00FF1B7F" w:rsidRPr="00CD5907" w:rsidRDefault="00FF1B7F" w:rsidP="00FF1B7F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УДК 130.2</w:t>
      </w:r>
    </w:p>
    <w:p w:rsidR="00FF1B7F" w:rsidRPr="00CD5907" w:rsidRDefault="00FF1B7F" w:rsidP="00FF1B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</w:rPr>
        <w:t xml:space="preserve">Г. И. </w:t>
      </w:r>
      <w:proofErr w:type="spellStart"/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</w:rPr>
        <w:t>Займист</w:t>
      </w:r>
      <w:proofErr w:type="spellEnd"/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</w:rPr>
        <w:t>, А. В. Климович</w:t>
      </w:r>
    </w:p>
    <w:p w:rsidR="00FF1B7F" w:rsidRPr="00CD5907" w:rsidRDefault="00FF1B7F" w:rsidP="00FF1B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</w:rPr>
        <w:t xml:space="preserve">Читательская культура современной </w:t>
      </w:r>
      <w:r w:rsidRPr="00CD5907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студенческой </w:t>
      </w:r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</w:rPr>
        <w:t>молодёжи: проблемы</w:t>
      </w:r>
    </w:p>
    <w:p w:rsidR="00FF1B7F" w:rsidRPr="00CD5907" w:rsidRDefault="00FF1B7F" w:rsidP="00FF1B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</w:rPr>
        <w:t>формирования в процессе обучения</w:t>
      </w: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80400"/>
          <w:spacing w:val="-2"/>
          <w:sz w:val="24"/>
          <w:szCs w:val="24"/>
          <w:shd w:val="clear" w:color="auto" w:fill="FFFFFF"/>
        </w:rPr>
      </w:pPr>
      <w:r w:rsidRPr="00CD5907">
        <w:rPr>
          <w:rFonts w:ascii="Times New Roman" w:hAnsi="Times New Roman" w:cs="Times New Roman"/>
          <w:color w:val="080400"/>
          <w:spacing w:val="-2"/>
          <w:sz w:val="24"/>
          <w:szCs w:val="24"/>
          <w:shd w:val="clear" w:color="auto" w:fill="FFFFFF"/>
        </w:rPr>
        <w:t xml:space="preserve">В данной статье обосновывается необходимость формирования читательской культуры и читательской компетентности студенческой молодёжи в процессе обучения. В частности утверждается эффективность специальных курсов по обучению будущих специалистов методологии и методике современных видов чтения, формированию у них информационных и читательских компетенций для их грамотного взаимодействия с </w:t>
      </w:r>
      <w:proofErr w:type="gramStart"/>
      <w:r w:rsidRPr="00CD5907">
        <w:rPr>
          <w:rFonts w:ascii="Times New Roman" w:hAnsi="Times New Roman" w:cs="Times New Roman"/>
          <w:color w:val="080400"/>
          <w:spacing w:val="-2"/>
          <w:sz w:val="24"/>
          <w:szCs w:val="24"/>
          <w:shd w:val="clear" w:color="auto" w:fill="FFFFFF"/>
        </w:rPr>
        <w:t>информацией</w:t>
      </w:r>
      <w:proofErr w:type="gramEnd"/>
      <w:r w:rsidRPr="00CD5907">
        <w:rPr>
          <w:rFonts w:ascii="Times New Roman" w:hAnsi="Times New Roman" w:cs="Times New Roman"/>
          <w:color w:val="080400"/>
          <w:spacing w:val="-2"/>
          <w:sz w:val="24"/>
          <w:szCs w:val="24"/>
          <w:shd w:val="clear" w:color="auto" w:fill="FFFFFF"/>
        </w:rPr>
        <w:t xml:space="preserve"> как в «культуре слова», так и в «культуре образа». </w:t>
      </w:r>
    </w:p>
    <w:p w:rsidR="00FF1B7F" w:rsidRPr="00CD5907" w:rsidRDefault="00FF1B7F" w:rsidP="00FF1B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222222"/>
          <w:spacing w:val="-2"/>
          <w:sz w:val="24"/>
          <w:szCs w:val="24"/>
          <w:shd w:val="clear" w:color="auto" w:fill="FFFFFF"/>
        </w:rPr>
      </w:pPr>
      <w:r w:rsidRPr="00CD5907">
        <w:rPr>
          <w:rFonts w:ascii="Times New Roman" w:hAnsi="Times New Roman" w:cs="Times New Roman"/>
          <w:b/>
          <w:i/>
          <w:color w:val="222222"/>
          <w:spacing w:val="-2"/>
          <w:sz w:val="24"/>
          <w:szCs w:val="24"/>
          <w:shd w:val="clear" w:color="auto" w:fill="FFFFFF"/>
        </w:rPr>
        <w:t>Ключевые слова:</w:t>
      </w:r>
      <w:r w:rsidRPr="00CD5907">
        <w:rPr>
          <w:rFonts w:ascii="Times New Roman" w:hAnsi="Times New Roman" w:cs="Times New Roman"/>
          <w:i/>
          <w:color w:val="222222"/>
          <w:spacing w:val="-2"/>
          <w:sz w:val="24"/>
          <w:szCs w:val="24"/>
          <w:shd w:val="clear" w:color="auto" w:fill="FFFFFF"/>
        </w:rPr>
        <w:t xml:space="preserve"> читательская культура, читательская грамотность, читательская компетенция, читательская компетентность</w:t>
      </w:r>
    </w:p>
    <w:p w:rsidR="00FF1B7F" w:rsidRPr="00CD5907" w:rsidRDefault="00FF1B7F" w:rsidP="00FF1B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</w:pPr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 xml:space="preserve">G.I. </w:t>
      </w:r>
      <w:proofErr w:type="spellStart"/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>Zaimist</w:t>
      </w:r>
      <w:proofErr w:type="spellEnd"/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 xml:space="preserve">, A.V. </w:t>
      </w:r>
      <w:proofErr w:type="spellStart"/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>Klimovich</w:t>
      </w:r>
      <w:proofErr w:type="spellEnd"/>
    </w:p>
    <w:p w:rsidR="00FF1B7F" w:rsidRPr="00CD5907" w:rsidRDefault="00FF1B7F" w:rsidP="00FF1B7F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</w:pPr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>The reader</w:t>
      </w:r>
      <w:r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>’s</w:t>
      </w:r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 xml:space="preserve"> culture of modern student youth: problems </w:t>
      </w:r>
      <w:r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 xml:space="preserve">of </w:t>
      </w:r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>formation in the</w:t>
      </w:r>
    </w:p>
    <w:p w:rsidR="00FF1B7F" w:rsidRPr="00CD5907" w:rsidRDefault="00FF1B7F" w:rsidP="00FF1B7F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</w:pPr>
      <w:proofErr w:type="gramStart"/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>learning</w:t>
      </w:r>
      <w:proofErr w:type="gramEnd"/>
      <w:r w:rsidRPr="00CD5907">
        <w:rPr>
          <w:rFonts w:ascii="Times New Roman" w:hAnsi="Times New Roman" w:cs="Times New Roman"/>
          <w:b/>
          <w:color w:val="222222"/>
          <w:spacing w:val="-2"/>
          <w:sz w:val="28"/>
          <w:szCs w:val="28"/>
          <w:shd w:val="clear" w:color="auto" w:fill="FFFFFF"/>
          <w:lang w:val="en-US"/>
        </w:rPr>
        <w:t xml:space="preserve"> process</w:t>
      </w:r>
    </w:p>
    <w:p w:rsidR="00FF1B7F" w:rsidRPr="00CD5907" w:rsidRDefault="00FF1B7F" w:rsidP="00FF1B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</w:pPr>
      <w:r w:rsidRPr="00CD5907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  <w:t>Th</w:t>
      </w:r>
      <w:r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  <w:t>e</w:t>
      </w:r>
      <w:r w:rsidRPr="00CD5907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  <w:t xml:space="preserve"> article substantiates the need for the formation of a reading culture and reading competency of students in the learning process. In particular, the effectiveness of special courses on training future specialists in the methodology and </w:t>
      </w:r>
      <w:r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  <w:t>techniques</w:t>
      </w:r>
      <w:r w:rsidRPr="00CD5907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  <w:t xml:space="preserve"> of modern types of reading, the formation of information and reading competencies for their competent interaction with information both in the "word culture" and in the "image culture" is affirmed.</w:t>
      </w:r>
    </w:p>
    <w:p w:rsidR="00FF1B7F" w:rsidRPr="00653591" w:rsidRDefault="00FF1B7F" w:rsidP="00FF1B7F">
      <w:pPr>
        <w:tabs>
          <w:tab w:val="right" w:pos="1020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222222"/>
          <w:spacing w:val="-2"/>
          <w:sz w:val="24"/>
          <w:szCs w:val="24"/>
          <w:shd w:val="clear" w:color="auto" w:fill="FFFFFF"/>
          <w:lang w:val="en-US"/>
        </w:rPr>
      </w:pPr>
      <w:r w:rsidRPr="00CD5907">
        <w:rPr>
          <w:rFonts w:ascii="Times New Roman" w:hAnsi="Times New Roman" w:cs="Times New Roman"/>
          <w:b/>
          <w:i/>
          <w:color w:val="222222"/>
          <w:spacing w:val="-2"/>
          <w:sz w:val="24"/>
          <w:szCs w:val="24"/>
          <w:shd w:val="clear" w:color="auto" w:fill="FFFFFF"/>
          <w:lang w:val="en-US"/>
        </w:rPr>
        <w:t>Keywords:</w:t>
      </w:r>
      <w:r w:rsidRPr="00CD5907">
        <w:rPr>
          <w:rFonts w:ascii="Times New Roman" w:hAnsi="Times New Roman" w:cs="Times New Roman"/>
          <w:i/>
          <w:color w:val="222222"/>
          <w:spacing w:val="-2"/>
          <w:sz w:val="24"/>
          <w:szCs w:val="24"/>
          <w:shd w:val="clear" w:color="auto" w:fill="FFFFFF"/>
          <w:lang w:val="en-US"/>
        </w:rPr>
        <w:t xml:space="preserve"> reading culture, reading literacy, </w:t>
      </w:r>
      <w:r w:rsidRPr="00653591">
        <w:rPr>
          <w:rFonts w:ascii="Times New Roman" w:hAnsi="Times New Roman" w:cs="Times New Roman"/>
          <w:i/>
          <w:color w:val="222222"/>
          <w:spacing w:val="-2"/>
          <w:sz w:val="24"/>
          <w:szCs w:val="24"/>
          <w:shd w:val="clear" w:color="auto" w:fill="FFFFFF"/>
          <w:lang w:val="en-US"/>
        </w:rPr>
        <w:t>reading competence, reading competence</w:t>
      </w:r>
      <w:r w:rsidRPr="00653591">
        <w:rPr>
          <w:rFonts w:ascii="Times New Roman" w:hAnsi="Times New Roman" w:cs="Times New Roman"/>
          <w:i/>
          <w:color w:val="222222"/>
          <w:spacing w:val="-2"/>
          <w:sz w:val="24"/>
          <w:szCs w:val="24"/>
          <w:shd w:val="clear" w:color="auto" w:fill="FFFFFF"/>
          <w:lang w:val="en-US"/>
        </w:rPr>
        <w:tab/>
      </w:r>
    </w:p>
    <w:p w:rsidR="00FF1B7F" w:rsidRPr="00FF1B7F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  <w:lang w:val="en-US"/>
        </w:rPr>
      </w:pP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</w:pPr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 xml:space="preserve">Актуальность темы предопределена рядом факторов. Во-первых, местом и возрастающим значением когнитивных компетенций в стратегии </w:t>
      </w:r>
      <w:r w:rsidRPr="00CD5907"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  <w:t xml:space="preserve">формирования ключевых компетенций в процессе образования как ответ на вызовы современного общества, общества инновационных производств, «индустрии – 4.0». В структуре когнитивных компетенций современного человека особое место, на наш взгляд, принадлежит читательской компетентности, читательской грамотности. </w:t>
      </w: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 xml:space="preserve">Во-вторых, требования к когнитивным компетенциям, в т. ч. читательским, будущих специалистов зафиксированы в государственных образовательных стандартах для получения высшего образования и представлены как его конечный результат. В связи с этим приоритетным направлением вузовского образования следует считать создание условий для формирования у студентов будущих специалистов когнитивной (в т. ч. читательской) компетентности. </w:t>
      </w: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  <w:t xml:space="preserve">В-третьих, читательская культура и читательская компетентность </w:t>
      </w:r>
      <w:proofErr w:type="gramStart"/>
      <w:r w:rsidRPr="00CD5907"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  <w:t>обучающихся</w:t>
      </w:r>
      <w:proofErr w:type="gramEnd"/>
      <w:r w:rsidRPr="00CD5907"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  <w:t xml:space="preserve"> рассматривается сегодня как критерий качества образования, оценки его конечного результата. Например, читательская грамотность сегодня является одним из критериев мониторинга качества образования и эффективности стратегических решений в сфере образования в соответствии с </w:t>
      </w:r>
      <w:r w:rsidRPr="00CD5907">
        <w:rPr>
          <w:rFonts w:ascii="Times New Roman" w:hAnsi="Times New Roman" w:cs="Times New Roman"/>
          <w:bCs/>
          <w:color w:val="222222"/>
          <w:spacing w:val="-2"/>
          <w:sz w:val="28"/>
          <w:szCs w:val="28"/>
          <w:shd w:val="clear" w:color="auto" w:fill="FFFFFF"/>
        </w:rPr>
        <w:t xml:space="preserve">Международной программой по оценке образовательных достижений учащихся </w:t>
      </w:r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>(</w:t>
      </w:r>
      <w:r w:rsidRPr="00CD5907">
        <w:rPr>
          <w:rFonts w:ascii="Times New Roman" w:hAnsi="Times New Roman" w:cs="Times New Roman"/>
          <w:iCs/>
          <w:color w:val="222222"/>
          <w:spacing w:val="-2"/>
          <w:sz w:val="28"/>
          <w:szCs w:val="28"/>
          <w:shd w:val="clear" w:color="auto" w:fill="FFFFFF"/>
          <w:lang w:val="en"/>
        </w:rPr>
        <w:t>PISA</w:t>
      </w:r>
      <w:r w:rsidRPr="00CD5907">
        <w:rPr>
          <w:rFonts w:ascii="Times New Roman" w:hAnsi="Times New Roman" w:cs="Times New Roman"/>
          <w:iCs/>
          <w:color w:val="222222"/>
          <w:spacing w:val="-2"/>
          <w:sz w:val="28"/>
          <w:szCs w:val="28"/>
          <w:shd w:val="clear" w:color="auto" w:fill="FFFFFF"/>
        </w:rPr>
        <w:t xml:space="preserve"> </w:t>
      </w:r>
      <w:r w:rsidRPr="00CD5907"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  <w:t>–</w:t>
      </w:r>
      <w:r w:rsidRPr="00CD5907">
        <w:rPr>
          <w:rFonts w:ascii="Times New Roman" w:hAnsi="Times New Roman" w:cs="Times New Roman"/>
          <w:iCs/>
          <w:color w:val="222222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>Programme</w:t>
      </w:r>
      <w:proofErr w:type="spellEnd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>for</w:t>
      </w:r>
      <w:proofErr w:type="spellEnd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>International</w:t>
      </w:r>
      <w:proofErr w:type="spellEnd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>Student</w:t>
      </w:r>
      <w:proofErr w:type="spellEnd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>Assessment</w:t>
      </w:r>
      <w:proofErr w:type="spellEnd"/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 xml:space="preserve">) </w:t>
      </w:r>
      <w:r w:rsidRPr="00CD5907">
        <w:rPr>
          <w:rFonts w:ascii="Times New Roman" w:eastAsiaTheme="minorEastAsia" w:hAnsi="Times New Roman" w:cs="Times New Roman"/>
          <w:color w:val="000000" w:themeColor="text1"/>
          <w:spacing w:val="-2"/>
          <w:sz w:val="28"/>
          <w:szCs w:val="28"/>
        </w:rPr>
        <w:t>[1]</w:t>
      </w:r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 xml:space="preserve">. </w:t>
      </w: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 xml:space="preserve">В-четвёртых, актуальность темы вытекает и из реально существующих трудностей академической адаптации студентов младших курсов, факта, который констатируется не только эмпирическими наблюдениями в процессе обучения, но и специальными исследованиями. Проблема здесь в том, что новые методы и формы обучения в высшей школе, в особенности методы чтения в процессе самостоятельной работы, требуют от вчерашних школьников новых читательских компетенций, способов организации работы с информацией. Прежде всего, речь идёт о таких компетенциях, как читательская, информационная (навыки работы с информацией и информационно-компьютерная компетентность), компетенции академического чтения и письма, а также о таких формах мышления в процессе чтения, как междисциплинарное и </w:t>
      </w:r>
      <w:proofErr w:type="spellStart"/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>трансдисциплинарное</w:t>
      </w:r>
      <w:proofErr w:type="spellEnd"/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>медиакомпетентное</w:t>
      </w:r>
      <w:proofErr w:type="spellEnd"/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>, методологическое и логическое, диалогическое и эвристическое, контекстное и т.</w:t>
      </w:r>
      <w:r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 xml:space="preserve"> </w:t>
      </w:r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>п. [2].</w:t>
      </w: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В-пятых, в условиях постоянно расширяющегося пространства мультимедиа, в котором ведущей единицей знаковой системы кодировки </w:t>
      </w:r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информации является не слово, а образ, как утверждают учёные, фактически сосуществуют две информационные культуры: «культура слова» и «культура образа»: для первой характерен «человек читающий», а для второй – «человек просматривающий»</w:t>
      </w:r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 xml:space="preserve">. </w:t>
      </w:r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Это разные типы взаимодействия субъекта с информацией и способов её усвоения, каждому из них присуща специфическая методология её восприятия, разная степень проникновения и выяснения смысла. Сегодня можно с уверенностью констатировать, что в мире уже выросла массовая аудитория, воспитанная в атмосфере мультимедиа, воспринимающая информацию по типу «человека просматривающего». </w:t>
      </w:r>
      <w:proofErr w:type="gramStart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Е.И. Медведская утверждает, что «в существующей социокультурной ситуации «чистые» типы </w:t>
      </w:r>
      <w:r w:rsidRPr="00CD590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(«человек читающий» и «человек просматривающий»</w:t>
      </w:r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</w:t>
      </w:r>
      <w:r w:rsidRPr="00CD590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Г.З., А.К.)</w:t>
      </w:r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фактически не встречаются, однако представителей промежуточных типов на основании самостоятельного выбора предпочитаемого культурного орудия (печатное слово или </w:t>
      </w:r>
      <w:proofErr w:type="spellStart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медиаобраз</w:t>
      </w:r>
      <w:proofErr w:type="spellEnd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</w:t>
      </w:r>
      <w:r w:rsidRPr="00CD590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Г.З., А.К.</w:t>
      </w:r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>) в свободной ситуации можно характеризовать как носителей культуры слова/</w:t>
      </w:r>
      <w:proofErr w:type="spellStart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медиаобраз</w:t>
      </w:r>
      <w:proofErr w:type="spellEnd"/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 xml:space="preserve">[3]. </w:t>
      </w:r>
      <w:proofErr w:type="gramEnd"/>
    </w:p>
    <w:p w:rsidR="00FF1B7F" w:rsidRPr="00CD5907" w:rsidRDefault="00FF1B7F" w:rsidP="00FF1B7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В книге «Галактика </w:t>
      </w:r>
      <w:proofErr w:type="spellStart"/>
      <w:r w:rsidRPr="00CD5907">
        <w:rPr>
          <w:rFonts w:ascii="Times New Roman" w:hAnsi="Times New Roman" w:cs="Times New Roman"/>
          <w:spacing w:val="-2"/>
          <w:sz w:val="28"/>
          <w:szCs w:val="28"/>
        </w:rPr>
        <w:t>Гутенберга</w:t>
      </w:r>
      <w:proofErr w:type="spellEnd"/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», написанной в 1962 году, Маршалл </w:t>
      </w:r>
      <w:proofErr w:type="spellStart"/>
      <w:r w:rsidRPr="00CD5907">
        <w:rPr>
          <w:rFonts w:ascii="Times New Roman" w:hAnsi="Times New Roman" w:cs="Times New Roman"/>
          <w:spacing w:val="-2"/>
          <w:sz w:val="28"/>
          <w:szCs w:val="28"/>
        </w:rPr>
        <w:t>Маклюэн</w:t>
      </w:r>
      <w:proofErr w:type="spellEnd"/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 утверждал, что до 60-х годов двадцатого века в культуре преобладал линейный способ мышления, на смену же ему приходит более глобальное восприятие через образы, транслируемые телевидением. Соответственно, можно выстроить культурно-технологический исторический ряд: «читатель» – «слушатель, зритель»</w:t>
      </w:r>
      <w:r w:rsidRPr="00CD5907">
        <w:rPr>
          <w:spacing w:val="-2"/>
        </w:rPr>
        <w:t xml:space="preserve"> </w:t>
      </w:r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– «пользователь». Безусловно, на каждом из этих этапов можно быть и активным, и пассивным. Но человек читающий (не поверхностно, не «по диагонали») – это в большей мере </w:t>
      </w:r>
      <w:proofErr w:type="spellStart"/>
      <w:r w:rsidRPr="00CD5907">
        <w:rPr>
          <w:rFonts w:ascii="Times New Roman" w:hAnsi="Times New Roman" w:cs="Times New Roman"/>
          <w:spacing w:val="-2"/>
          <w:sz w:val="28"/>
          <w:szCs w:val="28"/>
        </w:rPr>
        <w:t>соразмыслитель</w:t>
      </w:r>
      <w:proofErr w:type="spellEnd"/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, нежели человек-пользователь. «Слушатель, зритель» </w:t>
      </w:r>
      <w:proofErr w:type="gramStart"/>
      <w:r w:rsidRPr="00CD5907">
        <w:rPr>
          <w:rFonts w:ascii="Times New Roman" w:hAnsi="Times New Roman" w:cs="Times New Roman"/>
          <w:spacing w:val="-2"/>
          <w:sz w:val="28"/>
          <w:szCs w:val="28"/>
        </w:rPr>
        <w:t>безусловно</w:t>
      </w:r>
      <w:proofErr w:type="gramEnd"/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 более пассивен, впечатлителен, впечатляем, видя образы, а не знаки, он тем не менее скользит по поверхности. При этом он же имеет огромные возможности именно для соучастия, именно ему предоставлена небывалая ранее свобода в обмене информацией </w:t>
      </w:r>
      <w:r w:rsidRPr="00CD5907">
        <w:rPr>
          <w:rFonts w:ascii="Times New Roman" w:hAnsi="Times New Roman" w:cs="Times New Roman"/>
          <w:color w:val="222222"/>
          <w:spacing w:val="-2"/>
          <w:sz w:val="28"/>
          <w:szCs w:val="28"/>
          <w:shd w:val="clear" w:color="auto" w:fill="FFFFFF"/>
        </w:rPr>
        <w:t>[4].</w:t>
      </w:r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FF1B7F" w:rsidRPr="00CD5907" w:rsidRDefault="00FF1B7F" w:rsidP="00FF1B7F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CD5907">
        <w:rPr>
          <w:spacing w:val="-2"/>
          <w:sz w:val="28"/>
          <w:szCs w:val="28"/>
        </w:rPr>
        <w:lastRenderedPageBreak/>
        <w:t>Как отмечал в своей лекции, прочитанной в 1998 году в МГУ Умберто</w:t>
      </w:r>
      <w:proofErr w:type="gramStart"/>
      <w:r w:rsidRPr="00CD5907">
        <w:rPr>
          <w:spacing w:val="-2"/>
          <w:sz w:val="28"/>
          <w:szCs w:val="28"/>
        </w:rPr>
        <w:t xml:space="preserve"> Э</w:t>
      </w:r>
      <w:proofErr w:type="gramEnd"/>
      <w:r w:rsidRPr="00CD5907">
        <w:rPr>
          <w:spacing w:val="-2"/>
          <w:sz w:val="28"/>
          <w:szCs w:val="28"/>
        </w:rPr>
        <w:t xml:space="preserve">ко </w:t>
      </w:r>
      <w:r w:rsidRPr="00CD5907">
        <w:rPr>
          <w:color w:val="222222"/>
          <w:spacing w:val="-2"/>
          <w:sz w:val="28"/>
          <w:szCs w:val="28"/>
          <w:shd w:val="clear" w:color="auto" w:fill="FFFFFF"/>
        </w:rPr>
        <w:t>[4]</w:t>
      </w:r>
      <w:r w:rsidRPr="00CD5907">
        <w:rPr>
          <w:spacing w:val="-2"/>
          <w:sz w:val="28"/>
          <w:szCs w:val="28"/>
        </w:rPr>
        <w:t>, в то время, как на мировую сцену вышли компьютеры, СМИ усвоили и активно развивали идею о том, что человеческая цивилизация становится «</w:t>
      </w:r>
      <w:r w:rsidRPr="00CD5907">
        <w:rPr>
          <w:spacing w:val="-2"/>
          <w:sz w:val="28"/>
          <w:szCs w:val="28"/>
          <w:lang w:val="en-US"/>
        </w:rPr>
        <w:t>image</w:t>
      </w:r>
      <w:r w:rsidRPr="00CD5907">
        <w:rPr>
          <w:spacing w:val="-2"/>
          <w:sz w:val="28"/>
          <w:szCs w:val="28"/>
        </w:rPr>
        <w:t>-</w:t>
      </w:r>
      <w:r w:rsidRPr="00CD5907">
        <w:rPr>
          <w:spacing w:val="-2"/>
          <w:sz w:val="28"/>
          <w:szCs w:val="28"/>
          <w:lang w:val="en-US"/>
        </w:rPr>
        <w:t>oriented</w:t>
      </w:r>
      <w:r w:rsidRPr="00CD5907">
        <w:rPr>
          <w:spacing w:val="-2"/>
          <w:sz w:val="28"/>
          <w:szCs w:val="28"/>
        </w:rPr>
        <w:t xml:space="preserve">», то есть ориентированной на зрительный образ, а это соответственно приведёт к упадку грамотности, нежеланию чтения книг и т. п. По мнению же Умберто Эко, изначально компьютеры рождались как орудие письменности, любой пользователь должен был читать, и именно поэтому новое поколение детей научилось читать с дикой скоростью, быстрее, нежели профессор университета. Но вот вопрос – что изменила эта скорость чтения в восприятии информации? Очевидно, что стремительное развитие </w:t>
      </w:r>
      <w:proofErr w:type="spellStart"/>
      <w:r w:rsidRPr="00CD5907">
        <w:rPr>
          <w:spacing w:val="-2"/>
          <w:sz w:val="28"/>
          <w:szCs w:val="28"/>
        </w:rPr>
        <w:t>техносферы</w:t>
      </w:r>
      <w:proofErr w:type="spellEnd"/>
      <w:r w:rsidRPr="00CD5907">
        <w:rPr>
          <w:spacing w:val="-2"/>
          <w:sz w:val="28"/>
          <w:szCs w:val="28"/>
        </w:rPr>
        <w:t xml:space="preserve"> уже опережает адаптивные возможности человека. Приспосабливаясь к этой создаваемой им самим среде, он уже вынужден меняться сам. Не случайно социологический опрос магистрантов Брестского государственного университета имени А.С. Пушкина, проведенный в 2018 году, показал, что смысл современного образования, как его понимают учащиеся-магистранты, в том, чтобы главным образом обеспечить самореализацию личности в меняющихся очень быстро социальных условиях (56,8% опрошенных). С конца двадцатого века сменилось уже не одно поколение тинэйджеров. Какое же место занимает чтение в жизни молодёжи, как изменилась читательская культура? Сошлёмся на данные, полученные в результате некоторых наших исследований. </w:t>
      </w:r>
    </w:p>
    <w:p w:rsidR="00FF1B7F" w:rsidRPr="00CD5907" w:rsidRDefault="00FF1B7F" w:rsidP="00FF1B7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D5907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Так, </w:t>
      </w:r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кафедрой философии Брестского государственного университета имени А.С. Пушкина с 2005 по 2017 годы проводилось социологическое исследование ценностных ориентаций студенчества с целью изучения их динамики в течение всего периода обучения в вузе, выявления механизмов воздействия вузовского обучения на формирование мировоззренческих ценностей молодых людей. Следует сказать, что приоритеты студенческой молодёжи за данный период исследований менялись весьма незначительно. Один из вопросов, используемых в исследовании анкет, традиционно был посвящён тому, что же влияет на формирование мировоззрения респондентов. </w:t>
      </w:r>
      <w:proofErr w:type="gramStart"/>
      <w:r w:rsidRPr="00CD5907">
        <w:rPr>
          <w:rFonts w:ascii="Times New Roman" w:hAnsi="Times New Roman" w:cs="Times New Roman"/>
          <w:spacing w:val="-2"/>
          <w:sz w:val="28"/>
          <w:szCs w:val="28"/>
        </w:rPr>
        <w:lastRenderedPageBreak/>
        <w:t>Выяснилось, что более всего на формирование их мировоззрения влияет не Интернет (хотя 25% опрошенных свободное время просиживают там), а семья и окружение, друзья – до 65% опрошенных убеждены в этом.</w:t>
      </w:r>
      <w:proofErr w:type="gramEnd"/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 Основным источником информации для студентов выступает телевидение. В целом примерно 40% свободного времени молодых людей отнимает телевизор. Книги в качестве фактора, влияющего на мировоззрение – в числе явных аутсайдеров. В разные годы об их влиянии на своё мировоззрение указывали 5-6% </w:t>
      </w:r>
      <w:proofErr w:type="gramStart"/>
      <w:r w:rsidRPr="00CD5907">
        <w:rPr>
          <w:rFonts w:ascii="Times New Roman" w:hAnsi="Times New Roman" w:cs="Times New Roman"/>
          <w:spacing w:val="-2"/>
          <w:sz w:val="28"/>
          <w:szCs w:val="28"/>
        </w:rPr>
        <w:t>опрошенных</w:t>
      </w:r>
      <w:proofErr w:type="gramEnd"/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. В структуре же свободного времени чтение преимущественно художественной литературы занимает третье место по значимости: в целом 16,6 % студентов её читают постоянно, намного меньше процент читающих газеты и журналы (9,9%). </w:t>
      </w:r>
    </w:p>
    <w:p w:rsidR="00FF1B7F" w:rsidRPr="00CD5907" w:rsidRDefault="00FF1B7F" w:rsidP="00FF1B7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D5907">
        <w:rPr>
          <w:rFonts w:ascii="Times New Roman" w:hAnsi="Times New Roman" w:cs="Times New Roman"/>
          <w:spacing w:val="-2"/>
          <w:sz w:val="28"/>
          <w:szCs w:val="28"/>
        </w:rPr>
        <w:t>В 2015 году кафедрой философии и культурологии Брестского государственного технического университета осуществлялось научное исследование «</w:t>
      </w:r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Изменение желаемого образа семьи в глазах различных поколений на постсоветском пространстве (на примере Беларуси и России)»</w:t>
      </w:r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 в рамках проекта БРФФИ-РГНФ Г14Р-039</w:t>
      </w:r>
      <w:r w:rsidRPr="00CD590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 </w:t>
      </w:r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Представляют интерес полученные данные о темах, обсуждаемых представителями разных поколений в семье. По признанию опрошенных подростков, они  обсуждают с родителями прочитанные книги (часто – 22% и редко – 48,5% белорусских; часто – 37,1% и редко – 32,6% российских подростков). Примерно в такой же степени обсуждаются фильмы и телепередачи. Молодёжь не столь заинтересована таким обсуждением, но всё же оно имеет место (часто обсуждают прочитанные книги 13,9% белорусской и 17,2% российской молодёжи). В два раза большей является частота обсуждения фильмов и телепередач. Приведенные отдельные результаты социологических опросов свидетельствуют о том, что в современных условиях информационная культура студенческой молодежи формируется и «культурой слова», и «культурой образа». На наш взгляд, данный фактор необходимо учитывать при построении методологии и методики </w:t>
      </w:r>
      <w:proofErr w:type="gramStart"/>
      <w:r w:rsidRPr="00CD5907">
        <w:rPr>
          <w:rFonts w:ascii="Times New Roman" w:hAnsi="Times New Roman" w:cs="Times New Roman"/>
          <w:spacing w:val="-2"/>
          <w:sz w:val="28"/>
          <w:szCs w:val="28"/>
        </w:rPr>
        <w:t>обучения студентов по дисциплинам</w:t>
      </w:r>
      <w:proofErr w:type="gramEnd"/>
      <w:r w:rsidRPr="00CD5907">
        <w:rPr>
          <w:rFonts w:ascii="Times New Roman" w:hAnsi="Times New Roman" w:cs="Times New Roman"/>
          <w:spacing w:val="-2"/>
          <w:sz w:val="28"/>
          <w:szCs w:val="28"/>
        </w:rPr>
        <w:t xml:space="preserve">, а также при реализации специальных проектов по </w:t>
      </w:r>
      <w:r w:rsidRPr="00CD5907">
        <w:rPr>
          <w:rFonts w:ascii="Times New Roman" w:hAnsi="Times New Roman" w:cs="Times New Roman"/>
          <w:spacing w:val="-2"/>
          <w:sz w:val="28"/>
          <w:szCs w:val="28"/>
        </w:rPr>
        <w:lastRenderedPageBreak/>
        <w:t>формированию у студентов современных компетенций читательской культуры с учетом всего массива и всех форм информации, с которой взаимодействует современная молодёжь.</w:t>
      </w: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>Вместо вывода.</w:t>
      </w: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 xml:space="preserve">На юридическом факультете Брестского государственного университета имени А.С. Пушкина на младших курсах читается спецкурс «Методология учебной и научно-исследовательской деятельности студента», в рамках которого студенты изучают современные стратегии академического чтения, формируются компетенции культуры чтения. В частности, студенты усваивают такие виды чтения в зависимости от целевой установки читающего, как поисковое, просматривающее, ознакомительное, изучающее; таксономию Б. </w:t>
      </w:r>
      <w:proofErr w:type="spellStart"/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>Блума</w:t>
      </w:r>
      <w:proofErr w:type="spellEnd"/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 xml:space="preserve">; виды чтения в соответствии с современными требованиями к информационной и читательской компетентности будущего специалиста: критическое, контекстуальное, дискурсивное, </w:t>
      </w:r>
      <w:proofErr w:type="spellStart"/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>диалого</w:t>
      </w:r>
      <w:proofErr w:type="spellEnd"/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 xml:space="preserve">-эвристическое, методологическое, междисциплинарное, </w:t>
      </w:r>
      <w:proofErr w:type="spellStart"/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>трансдисциплинарное</w:t>
      </w:r>
      <w:proofErr w:type="spellEnd"/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 xml:space="preserve"> и др.</w:t>
      </w: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 xml:space="preserve">Как отмечают сами студенты, усвоение указанных видов чтения повышает их компетентность во взаимодействии с массивом </w:t>
      </w:r>
      <w:proofErr w:type="gramStart"/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>информации</w:t>
      </w:r>
      <w:proofErr w:type="gramEnd"/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 xml:space="preserve"> как в «культуре слова», так и в «культуре образа». </w:t>
      </w:r>
    </w:p>
    <w:p w:rsidR="00FF1B7F" w:rsidRPr="00CD5907" w:rsidRDefault="00FF1B7F" w:rsidP="00FF1B7F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</w:pPr>
      <w:r w:rsidRPr="00CD5907">
        <w:rPr>
          <w:rFonts w:ascii="Times New Roman" w:hAnsi="Times New Roman" w:cs="Times New Roman"/>
          <w:color w:val="080400"/>
          <w:spacing w:val="-2"/>
          <w:sz w:val="28"/>
          <w:szCs w:val="28"/>
          <w:shd w:val="clear" w:color="auto" w:fill="FFFFFF"/>
        </w:rPr>
        <w:t>БИБЛИОГРАФИЯ</w:t>
      </w:r>
    </w:p>
    <w:p w:rsidR="00FF1B7F" w:rsidRPr="00CD5907" w:rsidRDefault="00FF1B7F" w:rsidP="00FF1B7F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CD5907">
        <w:rPr>
          <w:spacing w:val="-2"/>
          <w:sz w:val="28"/>
          <w:szCs w:val="28"/>
          <w:shd w:val="clear" w:color="auto" w:fill="FFFFFF"/>
        </w:rPr>
        <w:t xml:space="preserve">Международная программа по оценке образовательных достижений учащихся. Гуманитарная энциклопедия: Исследования [Электронный ресурс] // Центр гуманитарных технологий, 2006–2019 (последняя редакция: 06.12.2019). URL: </w:t>
      </w:r>
      <w:hyperlink r:id="rId6" w:history="1">
        <w:r w:rsidRPr="00CD5907">
          <w:rPr>
            <w:rStyle w:val="a5"/>
            <w:color w:val="auto"/>
            <w:spacing w:val="-2"/>
            <w:sz w:val="28"/>
            <w:szCs w:val="28"/>
            <w:shd w:val="clear" w:color="auto" w:fill="FFFFFF"/>
          </w:rPr>
          <w:t>https://gtmarket.ru/research/pisa/info</w:t>
        </w:r>
      </w:hyperlink>
      <w:r w:rsidRPr="00CD5907">
        <w:rPr>
          <w:spacing w:val="-2"/>
          <w:sz w:val="28"/>
          <w:szCs w:val="28"/>
          <w:shd w:val="clear" w:color="auto" w:fill="FFFFFF"/>
        </w:rPr>
        <w:t xml:space="preserve"> (дата обращения: 07.12.2019).</w:t>
      </w:r>
    </w:p>
    <w:p w:rsidR="00FF1B7F" w:rsidRPr="00CD5907" w:rsidRDefault="00FF1B7F" w:rsidP="00FF1B7F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CD5907">
        <w:rPr>
          <w:spacing w:val="-2"/>
          <w:sz w:val="28"/>
          <w:szCs w:val="28"/>
        </w:rPr>
        <w:t xml:space="preserve">См.: </w:t>
      </w:r>
      <w:proofErr w:type="spellStart"/>
      <w:r w:rsidRPr="00CD5907">
        <w:rPr>
          <w:spacing w:val="-2"/>
          <w:sz w:val="28"/>
          <w:szCs w:val="28"/>
        </w:rPr>
        <w:t>Займист</w:t>
      </w:r>
      <w:proofErr w:type="spellEnd"/>
      <w:r w:rsidRPr="00CD5907">
        <w:rPr>
          <w:spacing w:val="-2"/>
          <w:sz w:val="28"/>
          <w:szCs w:val="28"/>
        </w:rPr>
        <w:t xml:space="preserve"> Г. И. Обучение будущих юристов академическим компетенциям / Г. И. </w:t>
      </w:r>
      <w:proofErr w:type="spellStart"/>
      <w:r w:rsidRPr="00CD5907">
        <w:rPr>
          <w:spacing w:val="-2"/>
          <w:sz w:val="28"/>
          <w:szCs w:val="28"/>
        </w:rPr>
        <w:t>Займист</w:t>
      </w:r>
      <w:proofErr w:type="spellEnd"/>
      <w:r w:rsidRPr="00CD5907">
        <w:rPr>
          <w:spacing w:val="-2"/>
          <w:sz w:val="28"/>
          <w:szCs w:val="28"/>
        </w:rPr>
        <w:t xml:space="preserve">, Е. Н. Григорович // </w:t>
      </w:r>
      <w:proofErr w:type="spellStart"/>
      <w:r w:rsidRPr="00CD5907">
        <w:rPr>
          <w:spacing w:val="-2"/>
          <w:sz w:val="28"/>
          <w:szCs w:val="28"/>
        </w:rPr>
        <w:t>Вучон</w:t>
      </w:r>
      <w:proofErr w:type="spellEnd"/>
      <w:r w:rsidRPr="00CD5907">
        <w:rPr>
          <w:spacing w:val="-2"/>
          <w:sz w:val="28"/>
          <w:szCs w:val="28"/>
        </w:rPr>
        <w:t xml:space="preserve">. </w:t>
      </w:r>
      <w:proofErr w:type="spellStart"/>
      <w:r w:rsidRPr="00CD5907">
        <w:rPr>
          <w:spacing w:val="-2"/>
          <w:sz w:val="28"/>
          <w:szCs w:val="28"/>
        </w:rPr>
        <w:t>зап</w:t>
      </w:r>
      <w:proofErr w:type="gramStart"/>
      <w:r w:rsidRPr="00CD5907">
        <w:rPr>
          <w:spacing w:val="-2"/>
          <w:sz w:val="28"/>
          <w:szCs w:val="28"/>
        </w:rPr>
        <w:t>i</w:t>
      </w:r>
      <w:proofErr w:type="gramEnd"/>
      <w:r w:rsidRPr="00CD5907">
        <w:rPr>
          <w:spacing w:val="-2"/>
          <w:sz w:val="28"/>
          <w:szCs w:val="28"/>
        </w:rPr>
        <w:t>скi</w:t>
      </w:r>
      <w:proofErr w:type="spellEnd"/>
      <w:r w:rsidRPr="00CD5907">
        <w:rPr>
          <w:spacing w:val="-2"/>
          <w:sz w:val="28"/>
          <w:szCs w:val="28"/>
        </w:rPr>
        <w:t xml:space="preserve"> </w:t>
      </w:r>
      <w:proofErr w:type="spellStart"/>
      <w:r w:rsidRPr="00CD5907">
        <w:rPr>
          <w:spacing w:val="-2"/>
          <w:sz w:val="28"/>
          <w:szCs w:val="28"/>
        </w:rPr>
        <w:t>Брэсц</w:t>
      </w:r>
      <w:proofErr w:type="spellEnd"/>
      <w:r w:rsidRPr="00CD5907">
        <w:rPr>
          <w:spacing w:val="-2"/>
          <w:sz w:val="28"/>
          <w:szCs w:val="28"/>
        </w:rPr>
        <w:t xml:space="preserve">. </w:t>
      </w:r>
      <w:proofErr w:type="spellStart"/>
      <w:r w:rsidRPr="00CD5907">
        <w:rPr>
          <w:spacing w:val="-2"/>
          <w:sz w:val="28"/>
          <w:szCs w:val="28"/>
        </w:rPr>
        <w:t>дзярж</w:t>
      </w:r>
      <w:proofErr w:type="spellEnd"/>
      <w:r w:rsidRPr="00CD5907">
        <w:rPr>
          <w:spacing w:val="-2"/>
          <w:sz w:val="28"/>
          <w:szCs w:val="28"/>
        </w:rPr>
        <w:t xml:space="preserve">. ун-та </w:t>
      </w:r>
      <w:proofErr w:type="spellStart"/>
      <w:r w:rsidRPr="00CD5907">
        <w:rPr>
          <w:spacing w:val="-2"/>
          <w:sz w:val="28"/>
          <w:szCs w:val="28"/>
        </w:rPr>
        <w:t>iмя</w:t>
      </w:r>
      <w:proofErr w:type="spellEnd"/>
      <w:r w:rsidRPr="00CD5907">
        <w:rPr>
          <w:spacing w:val="-2"/>
          <w:sz w:val="28"/>
          <w:szCs w:val="28"/>
        </w:rPr>
        <w:t xml:space="preserve"> А. С. </w:t>
      </w:r>
      <w:proofErr w:type="spellStart"/>
      <w:r w:rsidRPr="00CD5907">
        <w:rPr>
          <w:spacing w:val="-2"/>
          <w:sz w:val="28"/>
          <w:szCs w:val="28"/>
        </w:rPr>
        <w:t>Пушкiна</w:t>
      </w:r>
      <w:proofErr w:type="spellEnd"/>
      <w:r w:rsidRPr="00CD5907">
        <w:rPr>
          <w:spacing w:val="-2"/>
          <w:sz w:val="28"/>
          <w:szCs w:val="28"/>
        </w:rPr>
        <w:t xml:space="preserve">. – 2015. – Т. 10, ч. 1. – С. 55–60; </w:t>
      </w:r>
      <w:proofErr w:type="spellStart"/>
      <w:r w:rsidRPr="00CD5907">
        <w:rPr>
          <w:spacing w:val="-2"/>
          <w:sz w:val="28"/>
          <w:szCs w:val="28"/>
        </w:rPr>
        <w:t>Займист</w:t>
      </w:r>
      <w:proofErr w:type="spellEnd"/>
      <w:r w:rsidRPr="00CD5907">
        <w:rPr>
          <w:spacing w:val="-2"/>
          <w:sz w:val="28"/>
          <w:szCs w:val="28"/>
        </w:rPr>
        <w:t xml:space="preserve"> Г. И. Обучение будущих юристов академическим компетенциям / Г. И. </w:t>
      </w:r>
      <w:proofErr w:type="spellStart"/>
      <w:r w:rsidRPr="00CD5907">
        <w:rPr>
          <w:spacing w:val="-2"/>
          <w:sz w:val="28"/>
          <w:szCs w:val="28"/>
        </w:rPr>
        <w:t>Займист</w:t>
      </w:r>
      <w:proofErr w:type="spellEnd"/>
      <w:r w:rsidRPr="00CD5907">
        <w:rPr>
          <w:spacing w:val="-2"/>
          <w:sz w:val="28"/>
          <w:szCs w:val="28"/>
        </w:rPr>
        <w:t xml:space="preserve">, Е. Н. Григорович // </w:t>
      </w:r>
      <w:proofErr w:type="spellStart"/>
      <w:r w:rsidRPr="00CD5907">
        <w:rPr>
          <w:spacing w:val="-2"/>
          <w:sz w:val="28"/>
          <w:szCs w:val="28"/>
        </w:rPr>
        <w:t>Вучон</w:t>
      </w:r>
      <w:proofErr w:type="spellEnd"/>
      <w:r w:rsidRPr="00CD5907">
        <w:rPr>
          <w:spacing w:val="-2"/>
          <w:sz w:val="28"/>
          <w:szCs w:val="28"/>
        </w:rPr>
        <w:t xml:space="preserve">. </w:t>
      </w:r>
      <w:proofErr w:type="spellStart"/>
      <w:r w:rsidRPr="00CD5907">
        <w:rPr>
          <w:spacing w:val="-2"/>
          <w:sz w:val="28"/>
          <w:szCs w:val="28"/>
        </w:rPr>
        <w:t>зап</w:t>
      </w:r>
      <w:proofErr w:type="gramStart"/>
      <w:r w:rsidRPr="00CD5907">
        <w:rPr>
          <w:spacing w:val="-2"/>
          <w:sz w:val="28"/>
          <w:szCs w:val="28"/>
        </w:rPr>
        <w:t>i</w:t>
      </w:r>
      <w:proofErr w:type="gramEnd"/>
      <w:r w:rsidRPr="00CD5907">
        <w:rPr>
          <w:spacing w:val="-2"/>
          <w:sz w:val="28"/>
          <w:szCs w:val="28"/>
        </w:rPr>
        <w:t>скi</w:t>
      </w:r>
      <w:proofErr w:type="spellEnd"/>
      <w:r w:rsidRPr="00CD5907">
        <w:rPr>
          <w:spacing w:val="-2"/>
          <w:sz w:val="28"/>
          <w:szCs w:val="28"/>
        </w:rPr>
        <w:t xml:space="preserve"> </w:t>
      </w:r>
      <w:proofErr w:type="spellStart"/>
      <w:r w:rsidRPr="00CD5907">
        <w:rPr>
          <w:spacing w:val="-2"/>
          <w:sz w:val="28"/>
          <w:szCs w:val="28"/>
        </w:rPr>
        <w:t>Брэсц</w:t>
      </w:r>
      <w:proofErr w:type="spellEnd"/>
      <w:r w:rsidRPr="00CD5907">
        <w:rPr>
          <w:spacing w:val="-2"/>
          <w:sz w:val="28"/>
          <w:szCs w:val="28"/>
        </w:rPr>
        <w:t xml:space="preserve">. </w:t>
      </w:r>
      <w:proofErr w:type="spellStart"/>
      <w:r w:rsidRPr="00CD5907">
        <w:rPr>
          <w:spacing w:val="-2"/>
          <w:sz w:val="28"/>
          <w:szCs w:val="28"/>
        </w:rPr>
        <w:t>дзярж</w:t>
      </w:r>
      <w:proofErr w:type="spellEnd"/>
      <w:r w:rsidRPr="00CD5907">
        <w:rPr>
          <w:spacing w:val="-2"/>
          <w:sz w:val="28"/>
          <w:szCs w:val="28"/>
        </w:rPr>
        <w:t xml:space="preserve">. ун-та </w:t>
      </w:r>
      <w:proofErr w:type="spellStart"/>
      <w:r w:rsidRPr="00CD5907">
        <w:rPr>
          <w:spacing w:val="-2"/>
          <w:sz w:val="28"/>
          <w:szCs w:val="28"/>
        </w:rPr>
        <w:t>iмя</w:t>
      </w:r>
      <w:proofErr w:type="spellEnd"/>
      <w:r w:rsidRPr="00CD5907">
        <w:rPr>
          <w:spacing w:val="-2"/>
          <w:sz w:val="28"/>
          <w:szCs w:val="28"/>
        </w:rPr>
        <w:t xml:space="preserve"> А. С. </w:t>
      </w:r>
      <w:proofErr w:type="spellStart"/>
      <w:r w:rsidRPr="00CD5907">
        <w:rPr>
          <w:spacing w:val="-2"/>
          <w:sz w:val="28"/>
          <w:szCs w:val="28"/>
        </w:rPr>
        <w:t>Пушкiна</w:t>
      </w:r>
      <w:proofErr w:type="spellEnd"/>
      <w:r w:rsidRPr="00CD5907">
        <w:rPr>
          <w:spacing w:val="-2"/>
          <w:sz w:val="28"/>
          <w:szCs w:val="28"/>
        </w:rPr>
        <w:t xml:space="preserve">. – 2015. – Т. 10, ч. 1. – С. 55–60; </w:t>
      </w:r>
      <w:proofErr w:type="spellStart"/>
      <w:r w:rsidRPr="00CD5907">
        <w:rPr>
          <w:spacing w:val="-2"/>
          <w:sz w:val="28"/>
          <w:szCs w:val="28"/>
        </w:rPr>
        <w:t>Займист</w:t>
      </w:r>
      <w:proofErr w:type="spellEnd"/>
      <w:r w:rsidRPr="00CD5907">
        <w:rPr>
          <w:spacing w:val="-2"/>
          <w:sz w:val="28"/>
          <w:szCs w:val="28"/>
        </w:rPr>
        <w:t xml:space="preserve"> Г.И. Академическая грамотность будущих </w:t>
      </w:r>
      <w:r w:rsidRPr="00CD5907">
        <w:rPr>
          <w:spacing w:val="-2"/>
          <w:sz w:val="28"/>
          <w:szCs w:val="28"/>
        </w:rPr>
        <w:lastRenderedPageBreak/>
        <w:t xml:space="preserve">специалистов: проблема формирования соответствующих компетенций / </w:t>
      </w:r>
      <w:proofErr w:type="spellStart"/>
      <w:r w:rsidRPr="00CD5907">
        <w:rPr>
          <w:spacing w:val="-2"/>
          <w:sz w:val="28"/>
          <w:szCs w:val="28"/>
        </w:rPr>
        <w:t>Займист</w:t>
      </w:r>
      <w:proofErr w:type="spellEnd"/>
      <w:r w:rsidRPr="00CD5907">
        <w:rPr>
          <w:spacing w:val="-2"/>
          <w:sz w:val="28"/>
          <w:szCs w:val="28"/>
        </w:rPr>
        <w:t xml:space="preserve"> Г.И., Григорович Е.Н. // </w:t>
      </w:r>
      <w:proofErr w:type="spellStart"/>
      <w:r w:rsidRPr="00CD5907">
        <w:rPr>
          <w:spacing w:val="-2"/>
          <w:sz w:val="28"/>
          <w:szCs w:val="28"/>
        </w:rPr>
        <w:t>Вучон</w:t>
      </w:r>
      <w:proofErr w:type="spellEnd"/>
      <w:r w:rsidRPr="00CD5907">
        <w:rPr>
          <w:spacing w:val="-2"/>
          <w:sz w:val="28"/>
          <w:szCs w:val="28"/>
        </w:rPr>
        <w:t xml:space="preserve">. </w:t>
      </w:r>
      <w:proofErr w:type="spellStart"/>
      <w:r w:rsidRPr="00CD5907">
        <w:rPr>
          <w:spacing w:val="-2"/>
          <w:sz w:val="28"/>
          <w:szCs w:val="28"/>
        </w:rPr>
        <w:t>зап</w:t>
      </w:r>
      <w:proofErr w:type="gramStart"/>
      <w:r w:rsidRPr="00CD5907">
        <w:rPr>
          <w:spacing w:val="-2"/>
          <w:sz w:val="28"/>
          <w:szCs w:val="28"/>
        </w:rPr>
        <w:t>i</w:t>
      </w:r>
      <w:proofErr w:type="gramEnd"/>
      <w:r w:rsidRPr="00CD5907">
        <w:rPr>
          <w:spacing w:val="-2"/>
          <w:sz w:val="28"/>
          <w:szCs w:val="28"/>
        </w:rPr>
        <w:t>скi</w:t>
      </w:r>
      <w:proofErr w:type="spellEnd"/>
      <w:r w:rsidRPr="00CD5907">
        <w:rPr>
          <w:spacing w:val="-2"/>
          <w:sz w:val="28"/>
          <w:szCs w:val="28"/>
        </w:rPr>
        <w:t xml:space="preserve"> </w:t>
      </w:r>
      <w:proofErr w:type="spellStart"/>
      <w:r w:rsidRPr="00CD5907">
        <w:rPr>
          <w:spacing w:val="-2"/>
          <w:sz w:val="28"/>
          <w:szCs w:val="28"/>
        </w:rPr>
        <w:t>Брэсц</w:t>
      </w:r>
      <w:proofErr w:type="spellEnd"/>
      <w:r w:rsidRPr="00CD5907">
        <w:rPr>
          <w:spacing w:val="-2"/>
          <w:sz w:val="28"/>
          <w:szCs w:val="28"/>
        </w:rPr>
        <w:t xml:space="preserve">. </w:t>
      </w:r>
      <w:proofErr w:type="spellStart"/>
      <w:r w:rsidRPr="00CD5907">
        <w:rPr>
          <w:spacing w:val="-2"/>
          <w:sz w:val="28"/>
          <w:szCs w:val="28"/>
        </w:rPr>
        <w:t>дзярж</w:t>
      </w:r>
      <w:proofErr w:type="spellEnd"/>
      <w:r w:rsidRPr="00CD5907">
        <w:rPr>
          <w:spacing w:val="-2"/>
          <w:sz w:val="28"/>
          <w:szCs w:val="28"/>
        </w:rPr>
        <w:t xml:space="preserve">. ун-та </w:t>
      </w:r>
      <w:proofErr w:type="spellStart"/>
      <w:r w:rsidRPr="00CD5907">
        <w:rPr>
          <w:spacing w:val="-2"/>
          <w:sz w:val="28"/>
          <w:szCs w:val="28"/>
        </w:rPr>
        <w:t>iмя</w:t>
      </w:r>
      <w:proofErr w:type="spellEnd"/>
      <w:r w:rsidRPr="00CD5907">
        <w:rPr>
          <w:spacing w:val="-2"/>
          <w:sz w:val="28"/>
          <w:szCs w:val="28"/>
        </w:rPr>
        <w:t xml:space="preserve"> А. С. </w:t>
      </w:r>
      <w:proofErr w:type="spellStart"/>
      <w:r w:rsidRPr="00CD5907">
        <w:rPr>
          <w:spacing w:val="-2"/>
          <w:sz w:val="28"/>
          <w:szCs w:val="28"/>
        </w:rPr>
        <w:t>Пушкiна</w:t>
      </w:r>
      <w:proofErr w:type="spellEnd"/>
      <w:r w:rsidRPr="00CD5907">
        <w:rPr>
          <w:spacing w:val="-2"/>
          <w:sz w:val="28"/>
          <w:szCs w:val="28"/>
        </w:rPr>
        <w:t>. – 2016. – Т. 12, ч. 1. – С. 123–130 и др.</w:t>
      </w:r>
    </w:p>
    <w:p w:rsidR="00FF1B7F" w:rsidRPr="00CD5907" w:rsidRDefault="00FF1B7F" w:rsidP="00FF1B7F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CD5907">
        <w:rPr>
          <w:spacing w:val="-4"/>
          <w:sz w:val="28"/>
          <w:szCs w:val="28"/>
          <w:shd w:val="clear" w:color="auto" w:fill="FFFFFF"/>
        </w:rPr>
        <w:t xml:space="preserve">Медведская Е. И. Типология представителей информационных культур: теоретическое моделирование и возможности </w:t>
      </w:r>
      <w:proofErr w:type="spellStart"/>
      <w:r w:rsidRPr="00CD5907">
        <w:rPr>
          <w:spacing w:val="-4"/>
          <w:sz w:val="28"/>
          <w:szCs w:val="28"/>
          <w:shd w:val="clear" w:color="auto" w:fill="FFFFFF"/>
        </w:rPr>
        <w:t>операционализации</w:t>
      </w:r>
      <w:proofErr w:type="spellEnd"/>
      <w:r w:rsidRPr="00CD5907">
        <w:rPr>
          <w:spacing w:val="-4"/>
          <w:sz w:val="28"/>
          <w:szCs w:val="28"/>
          <w:shd w:val="clear" w:color="auto" w:fill="FFFFFF"/>
        </w:rPr>
        <w:t xml:space="preserve"> / Е. И. Медведская //</w:t>
      </w:r>
      <w:r w:rsidRPr="00CD5907">
        <w:rPr>
          <w:spacing w:val="-4"/>
          <w:sz w:val="28"/>
          <w:szCs w:val="28"/>
        </w:rPr>
        <w:t xml:space="preserve"> </w:t>
      </w:r>
      <w:proofErr w:type="spellStart"/>
      <w:r w:rsidRPr="00CD5907">
        <w:rPr>
          <w:spacing w:val="-4"/>
          <w:sz w:val="28"/>
          <w:szCs w:val="28"/>
        </w:rPr>
        <w:t>Вучон</w:t>
      </w:r>
      <w:proofErr w:type="spellEnd"/>
      <w:r w:rsidRPr="00CD5907">
        <w:rPr>
          <w:spacing w:val="-4"/>
          <w:sz w:val="28"/>
          <w:szCs w:val="28"/>
        </w:rPr>
        <w:t xml:space="preserve">. </w:t>
      </w:r>
      <w:proofErr w:type="spellStart"/>
      <w:r w:rsidRPr="00CD5907">
        <w:rPr>
          <w:spacing w:val="-4"/>
          <w:sz w:val="28"/>
          <w:szCs w:val="28"/>
        </w:rPr>
        <w:t>зап</w:t>
      </w:r>
      <w:proofErr w:type="gramStart"/>
      <w:r w:rsidRPr="00CD5907">
        <w:rPr>
          <w:spacing w:val="-4"/>
          <w:sz w:val="28"/>
          <w:szCs w:val="28"/>
        </w:rPr>
        <w:t>i</w:t>
      </w:r>
      <w:proofErr w:type="gramEnd"/>
      <w:r w:rsidRPr="00CD5907">
        <w:rPr>
          <w:spacing w:val="-4"/>
          <w:sz w:val="28"/>
          <w:szCs w:val="28"/>
        </w:rPr>
        <w:t>скi</w:t>
      </w:r>
      <w:proofErr w:type="spellEnd"/>
      <w:r w:rsidRPr="00CD5907">
        <w:rPr>
          <w:spacing w:val="-4"/>
          <w:sz w:val="28"/>
          <w:szCs w:val="28"/>
        </w:rPr>
        <w:t xml:space="preserve"> </w:t>
      </w:r>
      <w:proofErr w:type="spellStart"/>
      <w:r w:rsidRPr="00CD5907">
        <w:rPr>
          <w:spacing w:val="-4"/>
          <w:sz w:val="28"/>
          <w:szCs w:val="28"/>
        </w:rPr>
        <w:t>Брэсц</w:t>
      </w:r>
      <w:proofErr w:type="spellEnd"/>
      <w:r w:rsidRPr="00CD5907">
        <w:rPr>
          <w:spacing w:val="-4"/>
          <w:sz w:val="28"/>
          <w:szCs w:val="28"/>
        </w:rPr>
        <w:t xml:space="preserve">. </w:t>
      </w:r>
      <w:proofErr w:type="spellStart"/>
      <w:r w:rsidRPr="00CD5907">
        <w:rPr>
          <w:spacing w:val="-4"/>
          <w:sz w:val="28"/>
          <w:szCs w:val="28"/>
        </w:rPr>
        <w:t>дзярж</w:t>
      </w:r>
      <w:proofErr w:type="spellEnd"/>
      <w:r w:rsidRPr="00CD5907">
        <w:rPr>
          <w:spacing w:val="-4"/>
          <w:sz w:val="28"/>
          <w:szCs w:val="28"/>
        </w:rPr>
        <w:t xml:space="preserve">. ун-та </w:t>
      </w:r>
      <w:proofErr w:type="spellStart"/>
      <w:r w:rsidRPr="00CD5907">
        <w:rPr>
          <w:spacing w:val="-4"/>
          <w:sz w:val="28"/>
          <w:szCs w:val="28"/>
        </w:rPr>
        <w:t>iмя</w:t>
      </w:r>
      <w:proofErr w:type="spellEnd"/>
      <w:r w:rsidRPr="00CD5907">
        <w:rPr>
          <w:spacing w:val="-4"/>
          <w:sz w:val="28"/>
          <w:szCs w:val="28"/>
        </w:rPr>
        <w:t xml:space="preserve"> А. С. </w:t>
      </w:r>
      <w:proofErr w:type="spellStart"/>
      <w:r w:rsidRPr="00CD5907">
        <w:rPr>
          <w:spacing w:val="-4"/>
          <w:sz w:val="28"/>
          <w:szCs w:val="28"/>
        </w:rPr>
        <w:t>Пушкiна</w:t>
      </w:r>
      <w:proofErr w:type="spellEnd"/>
      <w:r w:rsidRPr="00CD5907">
        <w:rPr>
          <w:spacing w:val="-4"/>
          <w:sz w:val="28"/>
          <w:szCs w:val="28"/>
        </w:rPr>
        <w:t>. – 2017. – Т. 13, ч. 1. – С. 109–115.</w:t>
      </w:r>
    </w:p>
    <w:p w:rsidR="00FF1B7F" w:rsidRPr="00CD5907" w:rsidRDefault="00FF1B7F" w:rsidP="00FF1B7F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bCs/>
          <w:spacing w:val="-2"/>
          <w:sz w:val="28"/>
          <w:szCs w:val="28"/>
          <w:shd w:val="clear" w:color="auto" w:fill="FFFFFF"/>
          <w:lang w:val="en-US"/>
        </w:rPr>
      </w:pPr>
      <w:r w:rsidRPr="00CD5907">
        <w:rPr>
          <w:bCs/>
          <w:spacing w:val="-2"/>
          <w:sz w:val="28"/>
          <w:szCs w:val="28"/>
          <w:shd w:val="clear" w:color="auto" w:fill="FFFFFF"/>
        </w:rPr>
        <w:t>Умберто</w:t>
      </w:r>
      <w:proofErr w:type="gramStart"/>
      <w:r w:rsidRPr="00CD5907">
        <w:rPr>
          <w:bCs/>
          <w:spacing w:val="-2"/>
          <w:sz w:val="28"/>
          <w:szCs w:val="28"/>
          <w:shd w:val="clear" w:color="auto" w:fill="FFFFFF"/>
        </w:rPr>
        <w:t xml:space="preserve"> Э</w:t>
      </w:r>
      <w:proofErr w:type="gramEnd"/>
      <w:r w:rsidRPr="00CD5907">
        <w:rPr>
          <w:bCs/>
          <w:spacing w:val="-2"/>
          <w:sz w:val="28"/>
          <w:szCs w:val="28"/>
          <w:shd w:val="clear" w:color="auto" w:fill="FFFFFF"/>
        </w:rPr>
        <w:t xml:space="preserve">ко. От Интернета к </w:t>
      </w:r>
      <w:proofErr w:type="spellStart"/>
      <w:r w:rsidRPr="00CD5907">
        <w:rPr>
          <w:bCs/>
          <w:spacing w:val="-2"/>
          <w:sz w:val="28"/>
          <w:szCs w:val="28"/>
          <w:shd w:val="clear" w:color="auto" w:fill="FFFFFF"/>
        </w:rPr>
        <w:t>Гутенбергу</w:t>
      </w:r>
      <w:proofErr w:type="spellEnd"/>
      <w:r w:rsidRPr="00CD5907">
        <w:rPr>
          <w:bCs/>
          <w:spacing w:val="-2"/>
          <w:sz w:val="28"/>
          <w:szCs w:val="28"/>
          <w:shd w:val="clear" w:color="auto" w:fill="FFFFFF"/>
        </w:rPr>
        <w:t>: текст и гипертекст</w:t>
      </w:r>
      <w:proofErr w:type="gramStart"/>
      <w:r w:rsidRPr="00CD5907">
        <w:rPr>
          <w:bCs/>
          <w:spacing w:val="-2"/>
          <w:sz w:val="28"/>
          <w:szCs w:val="28"/>
          <w:shd w:val="clear" w:color="auto" w:fill="FFFFFF"/>
        </w:rPr>
        <w:t xml:space="preserve"> :</w:t>
      </w:r>
      <w:proofErr w:type="gramEnd"/>
      <w:r w:rsidRPr="00CD5907">
        <w:rPr>
          <w:rFonts w:eastAsiaTheme="minorHAnsi"/>
          <w:i/>
          <w:iCs/>
          <w:spacing w:val="-2"/>
          <w:sz w:val="28"/>
          <w:szCs w:val="28"/>
          <w:shd w:val="clear" w:color="auto" w:fill="FFFFFF"/>
          <w:lang w:eastAsia="en-US"/>
        </w:rPr>
        <w:t xml:space="preserve"> </w:t>
      </w:r>
      <w:r w:rsidRPr="00CD5907">
        <w:rPr>
          <w:bCs/>
          <w:iCs/>
          <w:spacing w:val="-2"/>
          <w:sz w:val="28"/>
          <w:szCs w:val="28"/>
          <w:shd w:val="clear" w:color="auto" w:fill="FFFFFF"/>
        </w:rPr>
        <w:t>Отрывки из публичной лекции Умберто</w:t>
      </w:r>
      <w:proofErr w:type="gramStart"/>
      <w:r w:rsidRPr="00CD5907">
        <w:rPr>
          <w:bCs/>
          <w:iCs/>
          <w:spacing w:val="-2"/>
          <w:sz w:val="28"/>
          <w:szCs w:val="28"/>
          <w:shd w:val="clear" w:color="auto" w:fill="FFFFFF"/>
        </w:rPr>
        <w:t xml:space="preserve"> Э</w:t>
      </w:r>
      <w:proofErr w:type="gramEnd"/>
      <w:r w:rsidRPr="00CD5907">
        <w:rPr>
          <w:bCs/>
          <w:iCs/>
          <w:spacing w:val="-2"/>
          <w:sz w:val="28"/>
          <w:szCs w:val="28"/>
          <w:shd w:val="clear" w:color="auto" w:fill="FFFFFF"/>
        </w:rPr>
        <w:t xml:space="preserve">ко на экономическом факультете МГУ 20 мая 1998 </w:t>
      </w:r>
      <w:r w:rsidRPr="00CD5907">
        <w:rPr>
          <w:spacing w:val="-2"/>
          <w:sz w:val="28"/>
          <w:szCs w:val="28"/>
          <w:shd w:val="clear" w:color="auto" w:fill="FFFFFF"/>
        </w:rPr>
        <w:t>[Электронный ресурс]</w:t>
      </w:r>
      <w:r w:rsidRPr="00CD5907">
        <w:rPr>
          <w:bCs/>
          <w:iCs/>
          <w:spacing w:val="-2"/>
          <w:sz w:val="28"/>
          <w:szCs w:val="28"/>
          <w:shd w:val="clear" w:color="auto" w:fill="FFFFFF"/>
        </w:rPr>
        <w:t xml:space="preserve"> // Библиотека </w:t>
      </w:r>
      <w:proofErr w:type="spellStart"/>
      <w:r w:rsidRPr="00CD5907">
        <w:rPr>
          <w:bCs/>
          <w:iCs/>
          <w:spacing w:val="-2"/>
          <w:sz w:val="28"/>
          <w:szCs w:val="28"/>
          <w:shd w:val="clear" w:color="auto" w:fill="FFFFFF"/>
        </w:rPr>
        <w:t>Гумер</w:t>
      </w:r>
      <w:proofErr w:type="spellEnd"/>
      <w:r w:rsidRPr="00CD5907">
        <w:rPr>
          <w:bCs/>
          <w:iCs/>
          <w:spacing w:val="-2"/>
          <w:sz w:val="28"/>
          <w:szCs w:val="28"/>
          <w:shd w:val="clear" w:color="auto" w:fill="FFFFFF"/>
        </w:rPr>
        <w:t xml:space="preserve"> – Культурология.</w:t>
      </w:r>
      <w:r w:rsidRPr="00CD5907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CD5907">
        <w:rPr>
          <w:spacing w:val="-2"/>
          <w:sz w:val="28"/>
          <w:szCs w:val="28"/>
          <w:shd w:val="clear" w:color="auto" w:fill="FFFFFF"/>
          <w:lang w:val="en-US"/>
        </w:rPr>
        <w:t xml:space="preserve">URL: </w:t>
      </w:r>
      <w:hyperlink r:id="rId7" w:history="1">
        <w:r w:rsidRPr="00CD5907">
          <w:rPr>
            <w:rFonts w:eastAsiaTheme="minorHAnsi"/>
            <w:spacing w:val="-2"/>
            <w:sz w:val="28"/>
            <w:szCs w:val="28"/>
            <w:u w:val="single"/>
            <w:lang w:val="en-US" w:eastAsia="en-US"/>
          </w:rPr>
          <w:t>https://www.gumer.info/bibliotek_Buks/Culture/Eko/Int_Gutten.php</w:t>
        </w:r>
      </w:hyperlink>
      <w:r w:rsidRPr="00CD5907">
        <w:rPr>
          <w:rFonts w:eastAsiaTheme="minorHAnsi"/>
          <w:spacing w:val="-2"/>
          <w:sz w:val="28"/>
          <w:szCs w:val="28"/>
          <w:lang w:val="en-US" w:eastAsia="en-US"/>
        </w:rPr>
        <w:t xml:space="preserve">. </w:t>
      </w:r>
      <w:r w:rsidRPr="00CD5907">
        <w:rPr>
          <w:bCs/>
          <w:spacing w:val="-2"/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 w:rsidRPr="00CD5907">
        <w:rPr>
          <w:bCs/>
          <w:spacing w:val="-2"/>
          <w:sz w:val="28"/>
          <w:szCs w:val="28"/>
          <w:shd w:val="clear" w:color="auto" w:fill="FFFFFF"/>
          <w:lang w:val="en-US"/>
        </w:rPr>
        <w:t>дата</w:t>
      </w:r>
      <w:proofErr w:type="spellEnd"/>
      <w:proofErr w:type="gramEnd"/>
      <w:r w:rsidRPr="00CD5907">
        <w:rPr>
          <w:bCs/>
          <w:spacing w:val="-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D5907">
        <w:rPr>
          <w:bCs/>
          <w:spacing w:val="-2"/>
          <w:sz w:val="28"/>
          <w:szCs w:val="28"/>
          <w:shd w:val="clear" w:color="auto" w:fill="FFFFFF"/>
          <w:lang w:val="en-US"/>
        </w:rPr>
        <w:t>обращения</w:t>
      </w:r>
      <w:proofErr w:type="spellEnd"/>
      <w:r w:rsidRPr="00CD5907">
        <w:rPr>
          <w:bCs/>
          <w:spacing w:val="-2"/>
          <w:sz w:val="28"/>
          <w:szCs w:val="28"/>
          <w:shd w:val="clear" w:color="auto" w:fill="FFFFFF"/>
          <w:lang w:val="en-US"/>
        </w:rPr>
        <w:t>: 07.12.2019).</w:t>
      </w:r>
    </w:p>
    <w:p w:rsidR="00A659CD" w:rsidRDefault="00A659CD" w:rsidP="00A659CD">
      <w:pPr>
        <w:pStyle w:val="a4"/>
        <w:ind w:left="928"/>
        <w:jc w:val="both"/>
        <w:rPr>
          <w:b/>
          <w:sz w:val="28"/>
          <w:szCs w:val="28"/>
        </w:rPr>
      </w:pPr>
    </w:p>
    <w:p w:rsidR="00A659CD" w:rsidRPr="00A659CD" w:rsidRDefault="00A659CD" w:rsidP="00A659CD">
      <w:pPr>
        <w:pStyle w:val="a4"/>
        <w:ind w:left="0" w:firstLine="709"/>
        <w:jc w:val="both"/>
        <w:rPr>
          <w:color w:val="222222"/>
          <w:spacing w:val="-2"/>
          <w:sz w:val="28"/>
          <w:szCs w:val="28"/>
          <w:shd w:val="clear" w:color="auto" w:fill="FFFFFF"/>
        </w:rPr>
      </w:pPr>
      <w:r w:rsidRPr="00A659CD">
        <w:rPr>
          <w:b/>
          <w:sz w:val="28"/>
          <w:szCs w:val="28"/>
        </w:rPr>
        <w:t>Для ссылки:</w:t>
      </w:r>
      <w:r w:rsidRPr="00A659CD">
        <w:rPr>
          <w:sz w:val="28"/>
          <w:szCs w:val="28"/>
        </w:rPr>
        <w:t xml:space="preserve"> </w:t>
      </w:r>
      <w:proofErr w:type="spell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Займист</w:t>
      </w:r>
      <w:proofErr w:type="spellEnd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, Г. И., Климович, А. В. Читательская культура современной </w:t>
      </w:r>
      <w:r w:rsidRPr="00A659CD">
        <w:rPr>
          <w:spacing w:val="-2"/>
          <w:sz w:val="28"/>
          <w:szCs w:val="28"/>
          <w:shd w:val="clear" w:color="auto" w:fill="FFFFFF"/>
        </w:rPr>
        <w:t xml:space="preserve">студенческой </w:t>
      </w:r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молодёжи: проблемы формирования в процессе обучения [Электронный ресурс] / Г. И. </w:t>
      </w:r>
      <w:proofErr w:type="spell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Займист</w:t>
      </w:r>
      <w:proofErr w:type="spellEnd"/>
      <w:r w:rsidRPr="00A659CD">
        <w:rPr>
          <w:color w:val="222222"/>
          <w:spacing w:val="-2"/>
          <w:sz w:val="28"/>
          <w:szCs w:val="28"/>
          <w:shd w:val="clear" w:color="auto" w:fill="FFFFFF"/>
        </w:rPr>
        <w:t>, А. В. Климович // Современные проблемы книжной культуры: основные тенденции и перспективы развития</w:t>
      </w:r>
      <w:proofErr w:type="gram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 :</w:t>
      </w:r>
      <w:proofErr w:type="gramEnd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 К 95-летию Центр. науч. б-ки им. Я. Коласа Нац. акад. наук Беларуси : материалы XII Белорус</w:t>
      </w:r>
      <w:proofErr w:type="gram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.-</w:t>
      </w:r>
      <w:proofErr w:type="gramEnd"/>
      <w:r w:rsidRPr="00A659CD">
        <w:rPr>
          <w:color w:val="222222"/>
          <w:spacing w:val="-2"/>
          <w:sz w:val="28"/>
          <w:szCs w:val="28"/>
          <w:shd w:val="clear" w:color="auto" w:fill="FFFFFF"/>
        </w:rPr>
        <w:t>Рос. науч. семинара-</w:t>
      </w:r>
      <w:proofErr w:type="spell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конф</w:t>
      </w:r>
      <w:proofErr w:type="spellEnd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., Москва, 26–27 марта 2020 г. / </w:t>
      </w:r>
      <w:proofErr w:type="spell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Междунар</w:t>
      </w:r>
      <w:proofErr w:type="spellEnd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ассоц</w:t>
      </w:r>
      <w:proofErr w:type="spellEnd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. акад. наук, Совет по </w:t>
      </w:r>
      <w:proofErr w:type="spell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книгоизд</w:t>
      </w:r>
      <w:proofErr w:type="spellEnd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. [и др. ; </w:t>
      </w:r>
      <w:proofErr w:type="spell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редкол</w:t>
      </w:r>
      <w:proofErr w:type="spellEnd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.: Л. А. </w:t>
      </w:r>
      <w:proofErr w:type="spell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Авгуль</w:t>
      </w:r>
      <w:proofErr w:type="spellEnd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 и др. ; сост.: Л. А. </w:t>
      </w:r>
      <w:proofErr w:type="spell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>Авгуль</w:t>
      </w:r>
      <w:proofErr w:type="spellEnd"/>
      <w:r w:rsidRPr="00A659CD">
        <w:rPr>
          <w:color w:val="222222"/>
          <w:spacing w:val="-2"/>
          <w:sz w:val="28"/>
          <w:szCs w:val="28"/>
          <w:shd w:val="clear" w:color="auto" w:fill="FFFFFF"/>
        </w:rPr>
        <w:t>, Н. В. Вдовина]. – Минск</w:t>
      </w:r>
      <w:proofErr w:type="gramStart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 ;</w:t>
      </w:r>
      <w:proofErr w:type="gramEnd"/>
      <w:r w:rsidRPr="00A659CD">
        <w:rPr>
          <w:color w:val="222222"/>
          <w:spacing w:val="-2"/>
          <w:sz w:val="28"/>
          <w:szCs w:val="28"/>
          <w:shd w:val="clear" w:color="auto" w:fill="FFFFFF"/>
        </w:rPr>
        <w:t xml:space="preserve"> Москва, 2020. – С. 211–217. – Режим доступа: https://www.elibrary.ru/item.asp?id=43075483.</w:t>
      </w:r>
    </w:p>
    <w:p w:rsidR="00FF1B7F" w:rsidRDefault="00FF1B7F" w:rsidP="00A659CD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B752E4" w:rsidRDefault="00B752E4">
      <w:bookmarkStart w:id="0" w:name="_GoBack"/>
      <w:bookmarkEnd w:id="0"/>
    </w:p>
    <w:sectPr w:rsidR="00B7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633"/>
    <w:multiLevelType w:val="hybridMultilevel"/>
    <w:tmpl w:val="3A1CD6AA"/>
    <w:lvl w:ilvl="0" w:tplc="6B6210A8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82"/>
    <w:rsid w:val="009B7482"/>
    <w:rsid w:val="00A659CD"/>
    <w:rsid w:val="00B752E4"/>
    <w:rsid w:val="00C37131"/>
    <w:rsid w:val="00D42EA5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1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1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umer.info/bibliotek_Buks/Culture/Eko/Int_Gutte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market.ru/research/pisa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2020-08-31T13:20:00Z</dcterms:created>
  <dcterms:modified xsi:type="dcterms:W3CDTF">2021-01-25T07:26:00Z</dcterms:modified>
</cp:coreProperties>
</file>